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סוג_מסמך"/>
      <w:bookmarkEnd w:id="0"/>
      <w:bookmarkEnd w:id="1"/>
      <w:r>
        <w:rPr>
          <w:b/>
          <w:b/>
          <w:bCs/>
          <w:sz w:val="28"/>
          <w:sz w:val="28"/>
          <w:szCs w:val="26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6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69"/>
        <w:gridCol w:w="851"/>
        <w:gridCol w:w="1809"/>
      </w:tblGrid>
      <w:tr>
        <w:trPr>
          <w:trHeight w:val="750" w:hRule="atLeast"/>
          <w:cantSplit w:val="true"/>
        </w:trPr>
        <w:tc>
          <w:tcPr>
            <w:tcW w:w="5869" w:type="dxa"/>
            <w:tcBorders/>
          </w:tcPr>
          <w:p>
            <w:pPr>
              <w:pStyle w:val="Normal"/>
              <w:spacing w:lineRule="atLeast" w:line="280"/>
              <w:ind w:end="0"/>
              <w:jc w:val="both"/>
              <w:rPr>
                <w:sz w:val="22"/>
              </w:rPr>
            </w:pPr>
            <w:bookmarkStart w:id="2" w:name="זיהוי_תיק"/>
            <w:bookmarkEnd w:id="2"/>
            <w:r>
              <w:rPr>
                <w:sz w:val="26"/>
                <w:sz w:val="26"/>
                <w:rtl w:val="true"/>
              </w:rPr>
              <w:t>בבית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המשפט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המחוזי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בחיפה</w:t>
            </w:r>
          </w:p>
        </w:tc>
        <w:tc>
          <w:tcPr>
            <w:tcW w:w="2660" w:type="dxa"/>
            <w:gridSpan w:val="2"/>
            <w:tcBorders/>
          </w:tcPr>
          <w:p>
            <w:pPr>
              <w:pStyle w:val="Normal"/>
              <w:spacing w:lineRule="atLeast" w:line="2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</w:t>
            </w:r>
            <w:r>
              <w:rPr>
                <w:sz w:val="22"/>
                <w:rtl w:val="true"/>
              </w:rPr>
              <w:t>"</w:t>
            </w: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</w:rPr>
              <w:t>26885-06-10</w:t>
            </w:r>
          </w:p>
        </w:tc>
      </w:tr>
      <w:tr>
        <w:trPr>
          <w:trHeight w:val="286" w:hRule="atLeast"/>
          <w:cantSplit w:val="true"/>
        </w:trPr>
        <w:tc>
          <w:tcPr>
            <w:tcW w:w="5869" w:type="dxa"/>
            <w:tcBorders/>
          </w:tcPr>
          <w:p>
            <w:pPr>
              <w:pStyle w:val="Normal"/>
              <w:spacing w:lineRule="atLeast" w:line="280"/>
              <w:ind w:end="0"/>
              <w:jc w:val="both"/>
              <w:rPr>
                <w:sz w:val="22"/>
              </w:rPr>
            </w:pPr>
            <w:bookmarkStart w:id="3" w:name="שם_שופט"/>
            <w:bookmarkStart w:id="4" w:name="תאריך"/>
            <w:bookmarkEnd w:id="3"/>
            <w:bookmarkEnd w:id="4"/>
            <w:r>
              <w:rPr>
                <w:sz w:val="26"/>
                <w:sz w:val="26"/>
                <w:rtl w:val="true"/>
              </w:rPr>
              <w:t>בפני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כב</w:t>
            </w:r>
            <w:r>
              <w:rPr>
                <w:sz w:val="26"/>
                <w:rtl w:val="true"/>
              </w:rPr>
              <w:t xml:space="preserve">' </w:t>
            </w:r>
            <w:r>
              <w:rPr>
                <w:sz w:val="26"/>
                <w:sz w:val="26"/>
                <w:rtl w:val="true"/>
              </w:rPr>
              <w:t>השופט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מ</w:t>
            </w:r>
            <w:r>
              <w:rPr>
                <w:sz w:val="26"/>
                <w:rtl w:val="true"/>
              </w:rPr>
              <w:t xml:space="preserve">. </w:t>
            </w:r>
            <w:r>
              <w:rPr>
                <w:sz w:val="26"/>
                <w:sz w:val="26"/>
                <w:rtl w:val="true"/>
              </w:rPr>
              <w:t>גלעד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               </w:t>
            </w:r>
          </w:p>
        </w:tc>
        <w:tc>
          <w:tcPr>
            <w:tcW w:w="851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tLeast" w:line="2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1809" w:type="dxa"/>
            <w:tcBorders/>
          </w:tcPr>
          <w:p>
            <w:pPr>
              <w:pStyle w:val="Normal"/>
              <w:snapToGrid w:val="false"/>
              <w:spacing w:lineRule="atLeast" w:line="2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222" w:type="dxa"/>
        <w:jc w:val="start"/>
        <w:tblInd w:w="24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4450"/>
        <w:gridCol w:w="2779"/>
      </w:tblGrid>
      <w:tr>
        <w:trPr/>
        <w:tc>
          <w:tcPr>
            <w:tcW w:w="993" w:type="dxa"/>
            <w:tcBorders/>
          </w:tcPr>
          <w:p>
            <w:pPr>
              <w:pStyle w:val="Style11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bookmarkStart w:id="5" w:name="FirstLawyer"/>
            <w:bookmarkStart w:id="6" w:name="FirstAppellant"/>
            <w:bookmarkStart w:id="7" w:name="שם_א"/>
            <w:bookmarkEnd w:id="5"/>
            <w:bookmarkEnd w:id="6"/>
            <w:bookmarkEnd w:id="7"/>
            <w:r>
              <w:rPr>
                <w:sz w:val="24"/>
                <w:sz w:val="24"/>
                <w:szCs w:val="26"/>
                <w:rtl w:val="true"/>
              </w:rPr>
              <w:t>בעניין</w:t>
            </w:r>
            <w:r>
              <w:rPr>
                <w:sz w:val="24"/>
                <w:szCs w:val="26"/>
                <w:rtl w:val="true"/>
              </w:rPr>
              <w:t>:</w:t>
            </w:r>
          </w:p>
        </w:tc>
        <w:tc>
          <w:tcPr>
            <w:tcW w:w="4450" w:type="dxa"/>
            <w:tcBorders/>
          </w:tcPr>
          <w:p>
            <w:pPr>
              <w:pStyle w:val="Style11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ישראל</w:t>
            </w:r>
          </w:p>
          <w:p>
            <w:pPr>
              <w:pStyle w:val="Style11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פמ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ח</w:t>
            </w:r>
          </w:p>
          <w:p>
            <w:pPr>
              <w:pStyle w:val="Style11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ע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גב</w:t>
            </w:r>
            <w:r>
              <w:rPr>
                <w:sz w:val="24"/>
                <w:szCs w:val="26"/>
                <w:rtl w:val="true"/>
              </w:rPr>
              <w:t xml:space="preserve">' </w:t>
            </w:r>
            <w:r>
              <w:rPr>
                <w:sz w:val="24"/>
                <w:sz w:val="24"/>
                <w:szCs w:val="26"/>
                <w:rtl w:val="true"/>
              </w:rPr>
              <w:t>ל</w:t>
            </w:r>
            <w:r>
              <w:rPr>
                <w:sz w:val="24"/>
                <w:szCs w:val="26"/>
                <w:rtl w:val="true"/>
              </w:rPr>
              <w:t xml:space="preserve">. </w:t>
            </w:r>
            <w:r>
              <w:rPr>
                <w:sz w:val="24"/>
                <w:sz w:val="24"/>
                <w:szCs w:val="26"/>
                <w:rtl w:val="true"/>
              </w:rPr>
              <w:t>תמיר</w:t>
            </w:r>
          </w:p>
        </w:tc>
        <w:tc>
          <w:tcPr>
            <w:tcW w:w="2779" w:type="dxa"/>
            <w:tcBorders/>
          </w:tcPr>
          <w:p>
            <w:pPr>
              <w:pStyle w:val="Style11"/>
              <w:snapToGrid w:val="false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1"/>
              <w:snapToGrid w:val="false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  <w:tc>
          <w:tcPr>
            <w:tcW w:w="4450" w:type="dxa"/>
            <w:tcBorders/>
          </w:tcPr>
          <w:p>
            <w:pPr>
              <w:pStyle w:val="Style11"/>
              <w:spacing w:lineRule="exact" w:line="280"/>
              <w:ind w:end="0"/>
              <w:jc w:val="center"/>
              <w:rPr/>
            </w:pPr>
            <w:r>
              <w:rPr>
                <w:sz w:val="24"/>
                <w:sz w:val="24"/>
                <w:szCs w:val="26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 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</w:p>
        </w:tc>
        <w:tc>
          <w:tcPr>
            <w:tcW w:w="2779" w:type="dxa"/>
            <w:tcBorders/>
          </w:tcPr>
          <w:p>
            <w:pPr>
              <w:pStyle w:val="Style11"/>
              <w:snapToGrid w:val="false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1"/>
              <w:snapToGrid w:val="false"/>
              <w:spacing w:lineRule="exact" w:line="280"/>
              <w:ind w:end="121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450" w:type="dxa"/>
            <w:tcBorders/>
          </w:tcPr>
          <w:p>
            <w:pPr>
              <w:pStyle w:val="Style11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</w:t>
            </w:r>
            <w:r>
              <w:rPr>
                <w:sz w:val="24"/>
                <w:szCs w:val="26"/>
                <w:rtl w:val="true"/>
              </w:rPr>
              <w:t xml:space="preserve">. </w:t>
            </w:r>
            <w:r>
              <w:rPr>
                <w:sz w:val="24"/>
                <w:sz w:val="24"/>
                <w:szCs w:val="26"/>
                <w:rtl w:val="true"/>
              </w:rPr>
              <w:t>פלוני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Cs w:val="26"/>
                <w:rtl w:val="true"/>
              </w:rPr>
              <w:t>(</w:t>
            </w:r>
            <w:r>
              <w:rPr>
                <w:sz w:val="24"/>
                <w:sz w:val="24"/>
                <w:szCs w:val="26"/>
                <w:rtl w:val="true"/>
              </w:rPr>
              <w:t>קטין</w:t>
            </w:r>
            <w:r>
              <w:rPr>
                <w:sz w:val="24"/>
                <w:szCs w:val="26"/>
                <w:rtl w:val="true"/>
              </w:rPr>
              <w:t>)</w:t>
            </w:r>
          </w:p>
          <w:p>
            <w:pPr>
              <w:pStyle w:val="Style11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rFonts w:cs="Times New Roman"/>
                <w:sz w:val="24"/>
                <w:szCs w:val="26"/>
                <w:rtl w:val="true"/>
              </w:rPr>
              <w:t xml:space="preserve">    </w:t>
            </w:r>
            <w:r>
              <w:rPr>
                <w:sz w:val="24"/>
                <w:sz w:val="24"/>
                <w:szCs w:val="26"/>
                <w:rtl w:val="true"/>
              </w:rPr>
              <w:t>ע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י</w:t>
            </w:r>
            <w:r>
              <w:rPr>
                <w:sz w:val="24"/>
                <w:szCs w:val="26"/>
                <w:rtl w:val="true"/>
              </w:rPr>
              <w:t xml:space="preserve">. </w:t>
            </w:r>
            <w:r>
              <w:rPr>
                <w:sz w:val="24"/>
                <w:sz w:val="24"/>
                <w:szCs w:val="26"/>
                <w:rtl w:val="true"/>
              </w:rPr>
              <w:t>נדשי</w:t>
            </w:r>
          </w:p>
          <w:p>
            <w:pPr>
              <w:pStyle w:val="Style11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</w:t>
            </w:r>
            <w:r>
              <w:rPr>
                <w:sz w:val="24"/>
                <w:szCs w:val="26"/>
                <w:rtl w:val="true"/>
              </w:rPr>
              <w:t xml:space="preserve">. </w:t>
            </w:r>
            <w:r>
              <w:rPr>
                <w:sz w:val="24"/>
                <w:sz w:val="24"/>
                <w:szCs w:val="26"/>
                <w:rtl w:val="true"/>
              </w:rPr>
              <w:t>פלוני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Cs w:val="26"/>
                <w:rtl w:val="true"/>
              </w:rPr>
              <w:t>(</w:t>
            </w:r>
            <w:r>
              <w:rPr>
                <w:sz w:val="24"/>
                <w:sz w:val="24"/>
                <w:szCs w:val="26"/>
                <w:rtl w:val="true"/>
              </w:rPr>
              <w:t>קטין</w:t>
            </w:r>
            <w:r>
              <w:rPr>
                <w:sz w:val="24"/>
                <w:szCs w:val="26"/>
                <w:rtl w:val="true"/>
              </w:rPr>
              <w:t>)</w:t>
            </w:r>
          </w:p>
          <w:p>
            <w:pPr>
              <w:pStyle w:val="Style11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rFonts w:cs="Times New Roman"/>
                <w:sz w:val="24"/>
                <w:szCs w:val="26"/>
                <w:rtl w:val="true"/>
              </w:rPr>
              <w:t xml:space="preserve">    </w:t>
            </w:r>
            <w:r>
              <w:rPr>
                <w:sz w:val="24"/>
                <w:sz w:val="24"/>
                <w:szCs w:val="26"/>
                <w:rtl w:val="true"/>
              </w:rPr>
              <w:t>ע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ב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עו</w:t>
            </w:r>
            <w:r>
              <w:rPr>
                <w:sz w:val="24"/>
                <w:szCs w:val="26"/>
                <w:rtl w:val="true"/>
              </w:rPr>
              <w:t>"</w:t>
            </w:r>
            <w:r>
              <w:rPr>
                <w:sz w:val="24"/>
                <w:sz w:val="24"/>
                <w:szCs w:val="26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ס</w:t>
            </w:r>
            <w:r>
              <w:rPr>
                <w:sz w:val="24"/>
                <w:szCs w:val="26"/>
                <w:rtl w:val="true"/>
              </w:rPr>
              <w:t xml:space="preserve">. </w:t>
            </w:r>
            <w:r>
              <w:rPr>
                <w:sz w:val="24"/>
                <w:sz w:val="24"/>
                <w:szCs w:val="26"/>
                <w:rtl w:val="true"/>
              </w:rPr>
              <w:t>ואקים</w:t>
            </w:r>
          </w:p>
        </w:tc>
        <w:tc>
          <w:tcPr>
            <w:tcW w:w="2779" w:type="dxa"/>
            <w:tcBorders/>
          </w:tcPr>
          <w:p>
            <w:pPr>
              <w:pStyle w:val="Style11"/>
              <w:snapToGrid w:val="false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Cs w:val="26"/>
                <w:rtl w:val="true"/>
              </w:rPr>
            </w:r>
          </w:p>
          <w:p>
            <w:pPr>
              <w:pStyle w:val="Style11"/>
              <w:spacing w:lineRule="exact" w:line="280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1969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רבדים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cs="FrankRuehl" w:ascii="FrankRuehl" w:hAnsi="FrankRuehl"/>
          <w:color w:val="0000FF"/>
          <w:sz w:val="24"/>
          <w:u w:val="single"/>
        </w:rPr>
        <w:t>144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ג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>)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4" w:name="סוג_מסמך"/>
      <w:bookmarkStart w:id="15" w:name="ABSTRACT_START"/>
      <w:bookmarkEnd w:id="14"/>
      <w:bookmarkEnd w:id="1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בבקבוק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בקובעו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בהמלצת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המשפט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נוער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נוער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במזיד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נפיץ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גלעד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כדלקמן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מיועדת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אלמנט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ודווקא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נורמטיביים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מוכתמים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בכתמה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מקבלים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בבואנו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יודעים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מהגורמים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שהתנהגותם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ודרכם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שיקוליהם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מבוגר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הריסון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וכדומה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ומכאן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כשבענישת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ומנוגדת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לפעמים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לעקרונות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בענישתם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בצידן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מקסימאליים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שהחברה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תוקיע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כמורשעים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 w:val="24"/>
            <w:szCs w:val="26"/>
            <w:rtl w:val="true"/>
          </w:rPr>
          <w:t>המבחן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[</w:t>
      </w:r>
      <w:r>
        <w:rPr>
          <w:rFonts w:cs="FrankRuehl"/>
          <w:sz w:val="24"/>
          <w:sz w:val="24"/>
          <w:szCs w:val="26"/>
          <w:rtl w:val="true"/>
        </w:rPr>
        <w:t>נוסח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חדש</w:t>
      </w:r>
      <w:r>
        <w:rPr>
          <w:rFonts w:cs="FrankRuehl"/>
          <w:sz w:val="24"/>
          <w:szCs w:val="26"/>
          <w:rtl w:val="true"/>
        </w:rPr>
        <w:t xml:space="preserve">] </w:t>
      </w:r>
      <w:r>
        <w:rPr>
          <w:rFonts w:cs="FrankRuehl"/>
          <w:sz w:val="24"/>
          <w:sz w:val="24"/>
          <w:szCs w:val="26"/>
          <w:rtl w:val="true"/>
        </w:rPr>
        <w:t>נותן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להפעילו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0">
        <w:r>
          <w:rPr>
            <w:rStyle w:val="Hyperlink"/>
            <w:rFonts w:cs="FrankRuehl"/>
            <w:color w:val="0000FF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4"/>
            <w:sz w:val="24"/>
            <w:szCs w:val="26"/>
            <w:rtl w:val="true"/>
          </w:rPr>
          <w:t>המבחן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ההמלצה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FrankRuehl"/>
          <w:sz w:val="24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שמייחסים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ולהמלצותיהם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ואיזונים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מהפריזמה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מביט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קצין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נפיצות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תוצאותיו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בכביש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באוניברסיטה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בתחנת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הדלק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כיוונו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וחבריו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מעשיהם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ומסוכנות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ייגבה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מחיר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גיבורים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שביצעו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והצליחו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תהא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ודווקא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להרתיעם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חץ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ההרתעה</w:t>
      </w:r>
      <w:r>
        <w:rPr>
          <w:rFonts w:cs="FrankRuehl"/>
          <w:sz w:val="24"/>
          <w:szCs w:val="26"/>
          <w:rtl w:val="true"/>
        </w:rPr>
        <w:t xml:space="preserve">. 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לעקרונות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המיוחדים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6" w:name="ABSTRACT_END"/>
      <w:bookmarkStart w:id="17" w:name="ABSTRACT_END"/>
      <w:bookmarkEnd w:id="1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bookmarkStart w:id="18" w:name="PsakDin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גזר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bookmarkEnd w:id="18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בעניינו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גזר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חלקי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בעניינו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ההליך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24.1.11</w:t>
      </w:r>
      <w:r>
        <w:rPr>
          <w:rtl w:val="true"/>
        </w:rPr>
        <w:t xml:space="preserve">,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'),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>".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3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7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8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1"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2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3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7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31.5.10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שמים</w:t>
      </w:r>
      <w:r>
        <w:rPr>
          <w:rtl w:val="true"/>
        </w:rPr>
        <w:t xml:space="preserve">"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בקת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tl w:val="true"/>
        </w:rPr>
        <w:t xml:space="preserve">") </w:t>
      </w:r>
      <w:r>
        <w:rPr>
          <w:rtl w:val="true"/>
        </w:rPr>
        <w:t>וליידות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הבקת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הכביש</w:t>
      </w:r>
      <w:r>
        <w:rPr>
          <w:rtl w:val="true"/>
        </w:rPr>
        <w:t xml:space="preserve">")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31.5.10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נוזל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דליק</w:t>
      </w:r>
      <w:r>
        <w:rPr>
          <w:rtl w:val="true"/>
        </w:rPr>
        <w:t xml:space="preserve">, </w:t>
      </w:r>
      <w:r>
        <w:rPr>
          <w:rtl w:val="true"/>
        </w:rPr>
        <w:t>והצטייד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בקת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ובסיועו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הבקת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22.00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הבקת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הבקת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מהבקת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בקת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ולנשיאתו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ונשא</w:t>
      </w:r>
      <w:r>
        <w:rPr>
          <w:rtl w:val="true"/>
        </w:rPr>
        <w:t xml:space="preserve">,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טיפלו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בבטיחותו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בטיחותו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בקת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תסקירי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הפניתי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עוקסה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tl w:val="true"/>
        </w:rPr>
        <w:t xml:space="preserve">, </w:t>
      </w:r>
      <w:r>
        <w:rPr>
          <w:rtl w:val="true"/>
        </w:rPr>
        <w:t>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עריכתם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החורגת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כשמשתי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המקצועות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היגררות</w:t>
      </w:r>
      <w:r>
        <w:rPr>
          <w:rtl w:val="true"/>
        </w:rPr>
        <w:t xml:space="preserve">"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בטוענם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התחלת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השקעה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start="720" w:end="0"/>
        <w:jc w:val="both"/>
        <w:rPr>
          <w:sz w:val="24"/>
        </w:rPr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פרטניות</w:t>
      </w:r>
      <w:r>
        <w:rPr>
          <w:rtl w:val="true"/>
        </w:rPr>
        <w:t xml:space="preserve">, </w:t>
      </w:r>
      <w:r>
        <w:rPr>
          <w:rtl w:val="true"/>
        </w:rPr>
        <w:t>עידוד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ונורמטיבית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צבע</w:t>
      </w:r>
      <w:r>
        <w:rPr>
          <w:rtl w:val="true"/>
        </w:rPr>
        <w:t xml:space="preserve">, </w:t>
      </w:r>
      <w:r>
        <w:rPr>
          <w:rtl w:val="true"/>
        </w:rPr>
        <w:t>שמגלה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ומרווח</w:t>
      </w:r>
      <w:r>
        <w:rPr>
          <w:rtl w:val="true"/>
        </w:rPr>
        <w:t>. (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לשבח</w:t>
      </w:r>
      <w:r>
        <w:rPr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משחק</w:t>
      </w:r>
      <w:r>
        <w:rPr>
          <w:rtl w:val="true"/>
        </w:rPr>
        <w:t xml:space="preserve">",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בטוענם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היהודים</w:t>
      </w:r>
      <w:r>
        <w:rPr>
          <w:rtl w:val="true"/>
        </w:rPr>
        <w:t xml:space="preserve">, </w:t>
      </w:r>
      <w:r>
        <w:rPr>
          <w:rtl w:val="true"/>
        </w:rPr>
        <w:t>שיכולה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ונורמטיבית</w:t>
      </w:r>
      <w:r>
        <w:rPr>
          <w:rtl w:val="true"/>
        </w:rPr>
        <w:t xml:space="preserve">, </w:t>
      </w:r>
      <w:r>
        <w:rPr>
          <w:rtl w:val="true"/>
        </w:rPr>
        <w:t>המעונין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כשההסתבכות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ומצליח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שתנבענה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tl w:val="true"/>
        </w:rPr>
        <w:t xml:space="preserve">, </w:t>
      </w:r>
      <w:r>
        <w:rPr>
          <w:rtl w:val="true"/>
        </w:rPr>
        <w:t>ושיבוצו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tl w:val="true"/>
        </w:rPr>
        <w:t xml:space="preserve">" </w:t>
      </w:r>
      <w:r>
        <w:rPr>
          <w:rtl w:val="true"/>
        </w:rPr>
        <w:t>שיתכן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"....</w:t>
      </w:r>
      <w:r>
        <w:rPr>
          <w:rFonts w:cs="Miriam"/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אלימות</w:t>
      </w:r>
      <w:r>
        <w:rPr>
          <w:rFonts w:cs="Miriam"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לאומני</w:t>
      </w:r>
      <w:r>
        <w:rPr>
          <w:rtl w:val="true"/>
        </w:rPr>
        <w:t xml:space="preserve">"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קטינותם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הדרושה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tl w:val="true"/>
        </w:rPr>
        <w:t xml:space="preserve">,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ערה</w:t>
      </w:r>
      <w:r>
        <w:rPr>
          <w:rtl w:val="true"/>
        </w:rPr>
        <w:t xml:space="preserve">, </w:t>
      </w:r>
      <w:r>
        <w:rPr>
          <w:rtl w:val="true"/>
        </w:rPr>
        <w:t>כשהכוונה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תוצר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מקטינותם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פאסיבי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נגרר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כמסייע</w:t>
      </w:r>
      <w:r>
        <w:rPr>
          <w:rtl w:val="true"/>
        </w:rPr>
        <w:t xml:space="preserve">",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tl w:val="true"/>
        </w:rPr>
        <w:t xml:space="preserve">,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אופיו</w:t>
      </w:r>
      <w:r>
        <w:rPr>
          <w:rtl w:val="true"/>
        </w:rPr>
        <w:t xml:space="preserve">,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שבפסיקה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תיכון</w:t>
      </w:r>
      <w:r>
        <w:rPr>
          <w:rtl w:val="true"/>
        </w:rPr>
        <w:t xml:space="preserve">,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  </w:t>
      </w:r>
    </w:p>
    <w:p>
      <w:pPr>
        <w:pStyle w:val="Normal"/>
        <w:ind w:hanging="720" w:start="720" w:end="0"/>
        <w:jc w:val="both"/>
        <w:rPr>
          <w:sz w:val="24"/>
          <w:szCs w:val="20"/>
        </w:rPr>
      </w:pPr>
      <w:r>
        <w:rPr>
          <w:sz w:val="24"/>
          <w:szCs w:val="20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  <w:szCs w:val="20"/>
        </w:rPr>
      </w:pPr>
      <w:r>
        <w:rPr>
          <w:sz w:val="24"/>
          <w:szCs w:val="20"/>
          <w:rtl w:val="true"/>
        </w:rPr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ממש</w:t>
      </w:r>
      <w:r>
        <w:rPr>
          <w:rtl w:val="true"/>
        </w:rPr>
        <w:t xml:space="preserve">"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טעמו</w:t>
      </w:r>
      <w:r>
        <w:rPr>
          <w:rtl w:val="true"/>
        </w:rPr>
        <w:t xml:space="preserve">" </w:t>
      </w:r>
      <w:r>
        <w:rPr>
          <w:rtl w:val="true"/>
        </w:rPr>
        <w:t>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,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הנאשמים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מפריד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עמים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גזענות</w:t>
      </w:r>
      <w:r>
        <w:rPr>
          <w:rFonts w:cs="Miriam"/>
          <w:rtl w:val="true"/>
        </w:rPr>
        <w:t>..."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מכונות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דיון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?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tl w:val="true"/>
        </w:rPr>
        <w:t xml:space="preserve">, </w:t>
      </w:r>
      <w:r>
        <w:rPr>
          <w:rtl w:val="true"/>
        </w:rPr>
        <w:t>ודווקא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מוכתמים</w:t>
      </w:r>
      <w:r>
        <w:rPr>
          <w:rtl w:val="true"/>
        </w:rPr>
        <w:t xml:space="preserve">" </w:t>
      </w:r>
      <w:r>
        <w:rPr>
          <w:rtl w:val="true"/>
        </w:rPr>
        <w:t>בכתמה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עוצבה</w:t>
      </w:r>
      <w:r>
        <w:rPr>
          <w:rtl w:val="true"/>
        </w:rPr>
        <w:t xml:space="preserve">, </w:t>
      </w:r>
      <w:r>
        <w:rPr>
          <w:rtl w:val="true"/>
        </w:rPr>
        <w:t>שיקוליהם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לפעמים</w:t>
      </w:r>
      <w:r>
        <w:rPr>
          <w:rtl w:val="true"/>
        </w:rPr>
        <w:t xml:space="preserve">,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,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שהחברה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תוקיע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והרי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המנבא</w:t>
      </w:r>
      <w:r>
        <w:rPr>
          <w:rtl w:val="true"/>
        </w:rPr>
        <w:t xml:space="preserve">"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נוגדים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;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485" w:end="1080"/>
        <w:jc w:val="both"/>
        <w:rPr>
          <w:rFonts w:ascii="Arial" w:hAnsi="Arial"/>
        </w:rPr>
      </w:pP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הכלל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להרשיע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עבירה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ומי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שטוען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ההפך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שומה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לשכנע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בית</w:t>
      </w:r>
      <w:r>
        <w:rPr>
          <w:rFonts w:cs="Miriam" w:ascii="Arial" w:hAnsi="Arial"/>
          <w:rtl w:val="true"/>
        </w:rPr>
        <w:t>-</w:t>
      </w:r>
      <w:r>
        <w:rPr>
          <w:rFonts w:ascii="Arial" w:hAnsi="Arial" w:cs="Miriam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ששיקולי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השיקום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גוברים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במקרה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האינדיווידואלי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השיקולים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שבאינטרס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הציבורי</w:t>
      </w:r>
      <w:r>
        <w:rPr>
          <w:rFonts w:cs="Miriam" w:ascii="Arial" w:hAnsi="Arial"/>
          <w:rtl w:val="true"/>
        </w:rPr>
        <w:t>: "</w:t>
      </w:r>
    </w:p>
    <w:p>
      <w:pPr>
        <w:pStyle w:val="Normal"/>
        <w:ind w:start="1485" w:end="1080"/>
        <w:jc w:val="both"/>
        <w:rPr>
          <w:rFonts w:ascii="Arial" w:hAnsi="Arial" w:cs="Arial"/>
        </w:rPr>
      </w:pPr>
      <w:r>
        <w:rPr>
          <w:rFonts w:cs="Arial" w:ascii="Arial" w:hAnsi="Arial"/>
          <w:color w:val="000000"/>
          <w:rtl w:val="true"/>
        </w:rPr>
        <w:t>(</w:t>
      </w:r>
      <w:hyperlink r:id="rId41">
        <w:r>
          <w:rPr>
            <w:rStyle w:val="Hyperlink"/>
            <w:rFonts w:ascii="Arial" w:hAnsi="Arial" w:cs="Arial"/>
            <w:color w:val="0000FF"/>
            <w:rtl w:val="true"/>
          </w:rPr>
          <w:t>עפ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2083/96</w:t>
        </w:r>
        <w:r>
          <w:rPr>
            <w:rStyle w:val="Hyperlink"/>
            <w:rFonts w:cs="Arial" w:ascii="Arial" w:hAnsi="Arial"/>
            <w:color w:val="0000FF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rtl w:val="true"/>
          </w:rPr>
          <w:t>תמר כתב נ</w:t>
        </w:r>
        <w:r>
          <w:rPr>
            <w:rStyle w:val="Hyperlink"/>
            <w:rFonts w:cs="Arial" w:ascii="Arial" w:hAnsi="Arial"/>
            <w:color w:val="0000FF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rtl w:val="true"/>
          </w:rPr>
          <w:t>מדינת ישראל</w:t>
        </w:r>
        <w:r>
          <w:rPr>
            <w:rStyle w:val="Hyperlink"/>
            <w:rFonts w:cs="Arial" w:ascii="Arial" w:hAnsi="Arial"/>
            <w:color w:val="0000FF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>ד נב</w:t>
        </w:r>
      </w:hyperlink>
      <w:r>
        <w:rPr>
          <w:rFonts w:cs="Arial" w:ascii="Arial" w:hAnsi="Arial"/>
          <w:color w:val="000000"/>
          <w:rtl w:val="true"/>
        </w:rPr>
        <w:t>(</w:t>
      </w:r>
      <w:r>
        <w:rPr>
          <w:rFonts w:cs="Arial" w:ascii="Arial" w:hAnsi="Arial"/>
          <w:color w:val="000000"/>
        </w:rPr>
        <w:t>3</w:t>
      </w:r>
      <w:r>
        <w:rPr>
          <w:rFonts w:cs="Arial" w:ascii="Arial" w:hAnsi="Arial"/>
          <w:color w:val="000000"/>
          <w:rtl w:val="true"/>
        </w:rPr>
        <w:t xml:space="preserve">) </w:t>
      </w:r>
      <w:r>
        <w:rPr>
          <w:rFonts w:cs="Arial" w:ascii="Arial" w:hAnsi="Arial"/>
          <w:color w:val="000000"/>
        </w:rPr>
        <w:t>337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cs="Arial" w:ascii="Arial" w:hAnsi="Arial"/>
          <w:color w:val="000000"/>
        </w:rPr>
        <w:t>344</w:t>
      </w:r>
      <w:r>
        <w:rPr>
          <w:rFonts w:cs="Arial" w:ascii="Arial" w:hAnsi="Arial"/>
          <w:color w:val="000000"/>
          <w:rtl w:val="true"/>
        </w:rPr>
        <w:t>)</w:t>
      </w:r>
    </w:p>
    <w:p>
      <w:pPr>
        <w:pStyle w:val="Normal"/>
        <w:spacing w:lineRule="auto" w:line="240"/>
        <w:ind w:start="1485" w:end="108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Fonts w:ascii="Arial" w:hAnsi="Arial" w:cs="Arial"/>
            <w:color w:val="0000FF"/>
            <w:rtl w:val="true"/>
          </w:rPr>
          <w:t>חוק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הנוער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הנוער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הקובע לאמור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before="100" w:after="100"/>
        <w:ind w:start="1485" w:end="1080"/>
        <w:jc w:val="both"/>
        <w:rPr>
          <w:rFonts w:ascii="Arial" w:hAnsi="Arial" w:cs="Miriam"/>
        </w:rPr>
      </w:pPr>
      <w:r>
        <w:rPr>
          <w:rFonts w:cs="Miriam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עקרונות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כלליים</w:t>
      </w:r>
    </w:p>
    <w:p>
      <w:pPr>
        <w:pStyle w:val="Normal"/>
        <w:spacing w:before="100" w:after="100"/>
        <w:ind w:start="1485" w:end="1080"/>
        <w:jc w:val="both"/>
        <w:rPr>
          <w:rFonts w:ascii="Arial" w:hAnsi="Arial"/>
        </w:rPr>
      </w:pPr>
      <w:r>
        <w:rPr>
          <w:rFonts w:cs="Miriam" w:ascii="Arial" w:hAnsi="Arial"/>
          <w:rtl w:val="true"/>
        </w:rPr>
        <w:t>(</w:t>
      </w:r>
      <w:r>
        <w:rPr>
          <w:rFonts w:ascii="Arial" w:hAnsi="Arial" w:cs="Miriam"/>
          <w:rtl w:val="true"/>
        </w:rPr>
        <w:t>א</w:t>
      </w:r>
      <w:r>
        <w:rPr>
          <w:rFonts w:cs="Miriam" w:ascii="Arial" w:hAnsi="Arial"/>
          <w:rtl w:val="true"/>
        </w:rPr>
        <w:t xml:space="preserve">) </w:t>
      </w:r>
      <w:r>
        <w:rPr>
          <w:rFonts w:ascii="Arial" w:hAnsi="Arial" w:cs="Miriam"/>
          <w:rtl w:val="true"/>
        </w:rPr>
        <w:t>מימוש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זכויות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קטין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הפעלת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סמכויות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ונקיטת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הליכים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כלפיו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ייעשו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שמירה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כבודו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הקטין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ומתן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משקל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ראוי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לשיקולים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שיקומו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הטיפול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בו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שילובו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בחברה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ותקנת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השבים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וכן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בהתחשב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בגילו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ובמידת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בגרותו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  <w:rtl w:val="true"/>
        </w:rPr>
        <w:t>".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ב</w:t>
      </w:r>
      <w:hyperlink r:id="rId44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49/09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על פי דעת הרוב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העקרונות שיש להתחשב בהם במסגרת ענישת קטין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בין אלה נקבע כי ההתייחסות השונה הננקטת כלפי ענישתו של קטין לפי חוק הנוער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מביאה לכך שגם כאשר קטין מבצע עבירה חמורה ונפשעת שהנפש סולדת ממנה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ולמרות שיש ליתן משקל ראוי להיבטי הגמול וההרתעה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וקטין אינו חסין בפני ענישה חמורה לרבות מאסר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485" w:end="1080"/>
        <w:jc w:val="both"/>
        <w:rPr>
          <w:rFonts w:ascii="Arial" w:hAnsi="Arial"/>
        </w:rPr>
      </w:pPr>
      <w:r>
        <w:rPr>
          <w:rFonts w:cs="Miriam" w:ascii="Arial" w:hAnsi="Arial"/>
          <w:rtl w:val="true"/>
        </w:rPr>
        <w:t xml:space="preserve">"...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ליתן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משקל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יתר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לשיקולים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אינדוידואליים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הנוגעים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הקטין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ולאזן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שיקולי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השיקום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לשיקולי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ההרתעה</w:t>
      </w:r>
      <w:r>
        <w:rPr>
          <w:rFonts w:cs="Miriam" w:ascii="Arial" w:hAnsi="Arial"/>
          <w:rtl w:val="true"/>
        </w:rPr>
        <w:t>...</w:t>
      </w:r>
    </w:p>
    <w:p>
      <w:pPr>
        <w:pStyle w:val="Normal"/>
        <w:ind w:start="1485" w:end="1080"/>
        <w:jc w:val="both"/>
        <w:rPr>
          <w:rFonts w:ascii="Arial" w:hAnsi="Arial"/>
        </w:rPr>
      </w:pPr>
      <w:r>
        <w:rPr>
          <w:rFonts w:cs="Miriam" w:ascii="Arial" w:hAnsi="Arial"/>
          <w:rtl w:val="true"/>
        </w:rPr>
        <w:t xml:space="preserve">... </w:t>
      </w:r>
      <w:r>
        <w:rPr>
          <w:rFonts w:ascii="Arial" w:hAnsi="Arial" w:cs="Miriam"/>
          <w:rtl w:val="true"/>
        </w:rPr>
        <w:t>נדרש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ליתן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משקל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במיוחד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לנסיבותיו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האישיות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העבריין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הקטין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לגילו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ולסיכויי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שיקומו</w:t>
      </w:r>
      <w:r>
        <w:rPr>
          <w:rFonts w:cs="Miriam" w:ascii="Arial" w:hAnsi="Arial"/>
          <w:rtl w:val="true"/>
        </w:rPr>
        <w:t xml:space="preserve">... </w:t>
      </w:r>
      <w:r>
        <w:rPr>
          <w:rFonts w:ascii="Arial" w:hAnsi="Arial" w:cs="Miriam"/>
          <w:rtl w:val="true"/>
        </w:rPr>
        <w:t>ענישת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קטינים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תכוון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ככל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הניתן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לשיקומו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הקטין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במטרה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להחזירו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לתפקוד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נורמטיבי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לחברה</w:t>
      </w:r>
      <w:r>
        <w:rPr>
          <w:rFonts w:cs="Miriam" w:ascii="Arial" w:hAnsi="Arial"/>
          <w:rtl w:val="true"/>
        </w:rPr>
        <w:t xml:space="preserve">... </w:t>
      </w:r>
      <w:r>
        <w:rPr>
          <w:rFonts w:ascii="Arial" w:hAnsi="Arial" w:cs="Miriam"/>
          <w:rtl w:val="true"/>
        </w:rPr>
        <w:t>ביסוד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תפיסה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ניצב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הרצון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  <w:rtl w:val="true"/>
        </w:rPr>
        <w:t>'</w:t>
      </w:r>
      <w:r>
        <w:rPr>
          <w:rFonts w:ascii="Arial" w:hAnsi="Arial" w:cs="Miriam"/>
          <w:rtl w:val="true"/>
        </w:rPr>
        <w:t>לאפשר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לקטין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שסרח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לפתוח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חדש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ולנהל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נורמטיביים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כאזרח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מתפקד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ושומר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חוק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תחת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שיעמיק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הידרדרותו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המדמנה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העבריינית</w:t>
      </w:r>
      <w:r>
        <w:rPr>
          <w:rFonts w:cs="Miriam" w:ascii="Arial" w:hAnsi="Arial"/>
          <w:rtl w:val="true"/>
        </w:rPr>
        <w:t>'...</w:t>
      </w:r>
    </w:p>
    <w:p>
      <w:pPr>
        <w:pStyle w:val="Normal"/>
        <w:ind w:start="1485" w:end="1080"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ויודגש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עיקר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מטרתו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ושאיפתו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לנוער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בבואו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לגזור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קטין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היא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להעניק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טיפול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במטרה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להביא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לשיקומו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כן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לנוער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  <w:rtl w:val="true"/>
        </w:rPr>
        <w:t>'</w:t>
      </w:r>
      <w:r>
        <w:rPr>
          <w:rFonts w:ascii="Arial" w:hAnsi="Arial" w:cs="Miriam"/>
          <w:rtl w:val="true"/>
        </w:rPr>
        <w:t>ממהר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לגזור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קטין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בפרט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מאסר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אלא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חוזר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ונוקט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בדרכי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טיפול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ואינו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נלאה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רואה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שביב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בקצה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המנהרה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וסיכויי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להחזיר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הקטין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למוטב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ולתפקוד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נורמטיבי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בחברה</w:t>
      </w:r>
      <w:r>
        <w:rPr>
          <w:rFonts w:cs="Miriam" w:ascii="Arial" w:hAnsi="Arial"/>
          <w:rtl w:val="true"/>
        </w:rPr>
        <w:t xml:space="preserve">". </w:t>
      </w:r>
    </w:p>
    <w:p>
      <w:pPr>
        <w:pStyle w:val="Normal"/>
        <w:ind w:start="1485" w:end="1080"/>
        <w:jc w:val="both"/>
        <w:rPr/>
      </w:pPr>
      <w:r>
        <w:rPr>
          <w:rFonts w:cs="Arial" w:ascii="Arial" w:hAnsi="Arial"/>
          <w:rtl w:val="true"/>
        </w:rPr>
        <w:t>(</w:t>
      </w:r>
      <w:hyperlink r:id="rId45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49/09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8.3.09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פורסם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צוין בפסק הדין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להעניק משקל רב לעצם קטינותם של הנאשמים בשל שלושה טעמים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הגיל הצעיר בגינו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פעמים רבות אין הכרתם ותודעתם מפותחות ובשלות די הצורך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בנערותו אין האדם מבחין בהכרח בין טוב ורע על פי אותן אמות מידה המשמשות בני אדם בגירים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קיים רצון להגן על קטינים מפני תנאי הכליאה והחשש ממפגש עם עבריינים בוגרים והתוודאות לאורחות החיים של הקהילה העבריינית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בהם סיכון לניצולו ולפגיעה גופנית ונפשית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לעונש המאסר עלולה להיות השפעה שלילית על קטין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חמורה מזו שקיימת על הבגיר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תוצאה שהיא בלתי רצויה ובלתי צודקת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לחברה יש מחוייבות לנסות ולמצוא כל דרך לשקם עבריינים 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בטרם תוחמץ ההזדמנות לשיקומם ומכאן קיים צורך למצות את דרך השיקום ולתת לכך משקל משמעותי בבוא בית המשפט לגזור את עונשו של קטין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שני הנאשמים המליץ קצין המבחן להרשיעם בדין תוך העמדתם בפיקוח קצין 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ונשאלת השאלה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היש סמכות לבית המשפט שלא להרשיעם וליתן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צו מבחן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בניגוד לעמדת קצין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הנני בדעה כי יש להשיב על שאלה זאת בחיוב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hyperlink r:id="rId4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7">
        <w:r>
          <w:rPr>
            <w:rStyle w:val="Hyperlink"/>
            <w:rFonts w:ascii="Arial" w:hAnsi="Arial" w:cs="Arial"/>
            <w:color w:val="0000FF"/>
            <w:rtl w:val="true"/>
          </w:rPr>
          <w:t>פקודת המבחן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1969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פקודת המבחן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נותן סמכות לבית המשפט ליתן צו מבחן בלי להרשיע את הנאשם ובלבד שלא חל עליו מאסר על תנאי שבית משפט רשאי להפעילו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9">
        <w:r>
          <w:rPr>
            <w:rStyle w:val="Hyperlink"/>
            <w:rFonts w:ascii="Arial" w:hAnsi="Arial" w:cs="Arial"/>
            <w:color w:val="0000FF"/>
            <w:rtl w:val="true"/>
          </w:rPr>
          <w:t>פקודת המבחן</w:t>
        </w:r>
      </w:hyperlink>
      <w:r>
        <w:rPr>
          <w:rFonts w:ascii="Arial" w:hAnsi="Arial" w:cs="Arial"/>
          <w:rtl w:val="true"/>
        </w:rPr>
        <w:t xml:space="preserve"> קובע כי לא ינתן צו מבחן </w:t>
      </w:r>
      <w:r>
        <w:rPr>
          <w:rFonts w:cs="Arial" w:ascii="Arial" w:hAnsi="Arial"/>
          <w:rtl w:val="true"/>
        </w:rPr>
        <w:t xml:space="preserve">"... </w:t>
      </w:r>
      <w:r>
        <w:rPr>
          <w:rFonts w:ascii="Arial" w:hAnsi="Arial" w:cs="Arial"/>
          <w:rtl w:val="true"/>
        </w:rPr>
        <w:t>אלא לאחר קבלת תסקיר בכתב מקצין המבחן</w:t>
      </w:r>
      <w:r>
        <w:rPr>
          <w:rFonts w:cs="Arial" w:ascii="Arial" w:hAnsi="Arial"/>
          <w:rtl w:val="true"/>
        </w:rPr>
        <w:t xml:space="preserve">...". </w:t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מכאן נגזרת המסקנה שהתנאי המוקדם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בלתו אין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למתן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צו מבחן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הינו קיומו של תסקיר בכתב של קצין המבחן אבל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אין חובה כי ההמלצה בו תהיה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ללא הרשעה</w:t>
      </w:r>
      <w:r>
        <w:rPr>
          <w:rFonts w:cs="Arial" w:ascii="Arial" w:hAnsi="Arial"/>
          <w:b/>
          <w:bCs/>
          <w:rtl w:val="true"/>
        </w:rPr>
        <w:t xml:space="preserve">". 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כלל ידוע הוא שעל אף החשיבות הרבה שמייחסים בתי המשפט לעבודת שרות המבחן ולהמלצותיהם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וכבר ציינתי כי במקרה זה עשה קצין המבחן מלאכה יסודית מקצועית וראויה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שבסופו של דבר המלצת קצין המבחן כשמה כן היא – המלצה – ובית המשפט שוקל מערכת שיקולים ואיזונים רחבה יותר מהפריזמה המכוונת בעיקר לנאשם שדרכה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מביט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קצין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מדיניות 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נפיצות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הצורך בהרתעה כללית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אינטרס הציבור ועוד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כשם שאין בית המשפט מחוייב לקבל המלצת קצין מבחן בדבר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 הרשעה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כך רשאי הוא להורות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בניגוד לאמור בהמלצת קצין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אי הרשעתו של נאשם תוך מתן צו מבחן בעניינו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מובן כי מתן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צו מבחן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ללא 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בניגוד להמלצת קצין המבחן שאמור לקיימו ולפקח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ייעשה כדבר שבשגרה אלא רק כשישנם נימוקים מיוחדים המצדיקים זאת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שבפני הנני בדעה כי יש לאבחן בין הנאשמים באופן מהותי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ההבדל בגילם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בעיקר הואיל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דומיננטי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בעבירות רבות יותר ולעומתו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נגרר אחריו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למנוע בעדו להשליך את בקבוק התבערה על הכביש ועל כן גם הורשע בעבירות קלות יותר ומועטות 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בהקשר זה ראוי להפנות – וגם להתחשב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במהלך טיעונה בעל 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בהגינותה ציינה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485" w:end="1080"/>
        <w:jc w:val="both"/>
        <w:rPr>
          <w:rFonts w:ascii="Arial" w:hAnsi="Arial"/>
        </w:rPr>
      </w:pP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להדגיש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חלקם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בכתב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האישום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שונה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כאשר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החלק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הארי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מיוחס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</w:rPr>
        <w:t>2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רכש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הנוזל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הדליק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הצטייד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בבקבוק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הזכוכית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וחתיכת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הבד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שהכין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בקבוק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התבערה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בביתו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</w:rPr>
        <w:t>1</w:t>
      </w:r>
      <w:r>
        <w:rPr>
          <w:rFonts w:cs="Miriam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ובסיועו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</w:rPr>
        <w:t>1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בסופו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שהשליך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בקבוק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התבערה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</w:rPr>
        <w:t>2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כאשר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נאשם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Miriam" w:ascii="Arial" w:hAnsi="Arial"/>
        </w:rPr>
        <w:t>1</w:t>
      </w:r>
      <w:r>
        <w:rPr>
          <w:rFonts w:cs="Miriam" w:ascii="Arial" w:hAnsi="Arial"/>
          <w:rtl w:val="true"/>
        </w:rPr>
        <w:t xml:space="preserve"> </w:t>
      </w:r>
      <w:r>
        <w:rPr>
          <w:rFonts w:ascii="Arial" w:hAnsi="Arial" w:cs="Miriam"/>
          <w:rtl w:val="true"/>
        </w:rPr>
        <w:t>מבקש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ממנו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להמנע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מכך</w:t>
      </w:r>
      <w:r>
        <w:rPr>
          <w:rFonts w:cs="Miriam" w:ascii="Arial" w:hAnsi="Arial"/>
          <w:rtl w:val="true"/>
        </w:rPr>
        <w:t xml:space="preserve">. </w:t>
      </w:r>
    </w:p>
    <w:p>
      <w:pPr>
        <w:pStyle w:val="Normal"/>
        <w:ind w:start="1485" w:end="1080"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לכן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ספק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פער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בחומרת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המעשים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המיוחסים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לשני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הנאשמים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ואנו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נבקש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שגזירת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הדין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תשקף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הפער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הזה</w:t>
      </w:r>
      <w:r>
        <w:rPr>
          <w:rFonts w:cs="Miriam" w:ascii="Arial" w:hAnsi="Arial"/>
          <w:rtl w:val="true"/>
        </w:rPr>
        <w:t xml:space="preserve">".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משראינו כי מוסמך בית המשפט להורות על אי הרשעתו של נאשם והעמדתו בצו מבחן אף בניגוד לעמדת קצין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לומר כי במיוחד כשבקטין עסקינן יש לראות בהרשעה חלק מן הענישה ומרכיביה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בפסיקה ניתן למצוא עונשים שונים שהושתו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בתי המשפט בעבירות דומות לאלה שביצעו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נראה שהכלל הוא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485" w:end="1080"/>
        <w:jc w:val="both"/>
        <w:rPr/>
      </w:pPr>
      <w:r>
        <w:rPr>
          <w:rFonts w:cs="Miriam" w:ascii="Arial" w:hAnsi="Arial"/>
          <w:rtl w:val="true"/>
        </w:rPr>
        <w:t xml:space="preserve">"... </w:t>
      </w:r>
      <w:r>
        <w:rPr>
          <w:rFonts w:ascii="Arial" w:hAnsi="Arial" w:cs="Miriam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הצבענו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שמעשים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חמורים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יידוי אבנים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בקבוקים ובקבוקי תבערה על נתיב תחבורה – מ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.)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שיכול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ויסתיימו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בתוצאות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חמורות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ביותר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נעשים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ומבוצעים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לצערנו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הרב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קטינים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דווקא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כשהמבוגרים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האחראים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עליהם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אינם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מונעים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אותם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מלבצעם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העבירה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הורשע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צפוי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מרבי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עשרים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ובימים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כשזוהי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מכת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להחמיר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בעונשו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שעובר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עליה</w:t>
      </w:r>
      <w:r>
        <w:rPr>
          <w:rFonts w:cs="Miriam" w:ascii="Arial" w:hAnsi="Arial"/>
          <w:rtl w:val="true"/>
        </w:rPr>
        <w:t>...".</w:t>
      </w:r>
    </w:p>
    <w:p>
      <w:pPr>
        <w:pStyle w:val="Normal"/>
        <w:ind w:start="1485" w:end="1080"/>
        <w:jc w:val="both"/>
        <w:rPr/>
      </w:pPr>
      <w:r>
        <w:rPr>
          <w:rFonts w:cs="Arial" w:ascii="Arial" w:hAnsi="Arial"/>
          <w:rtl w:val="true"/>
        </w:rPr>
        <w:t>(</w:t>
      </w:r>
      <w:hyperlink r:id="rId50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872/91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פלונית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23.6.91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פורסם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485" w:end="1080"/>
        <w:jc w:val="both"/>
        <w:rPr>
          <w:rFonts w:ascii="Arial" w:hAnsi="Arial"/>
        </w:rPr>
      </w:pP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סוג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שעניינן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בקבוקי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תבערה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מחייב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מחמירה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תוצאותיו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בקבוק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תבערה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וכבר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דברים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מעולם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עלולות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קשות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ביותר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וראוי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איפה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יצא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הקול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שהענישה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בכגון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תהא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קלה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בטחון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הציבור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יכול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הפקר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ונתון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לאימה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בכביש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בבית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החולים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באוניברסיטה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בתחנת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הדלק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ואלה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המקומות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אליהם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כיוונו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המערער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וחבריו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מעשיהם</w:t>
      </w:r>
      <w:r>
        <w:rPr>
          <w:rFonts w:cs="Miriam" w:ascii="Arial" w:hAnsi="Arial"/>
          <w:rtl w:val="true"/>
        </w:rPr>
        <w:t>..."</w:t>
      </w:r>
    </w:p>
    <w:p>
      <w:pPr>
        <w:pStyle w:val="Normal"/>
        <w:ind w:start="1485" w:end="1080"/>
        <w:jc w:val="both"/>
        <w:rPr/>
      </w:pPr>
      <w:r>
        <w:rPr>
          <w:rFonts w:cs="Arial" w:ascii="Arial" w:hAnsi="Arial"/>
          <w:rtl w:val="true"/>
        </w:rPr>
        <w:t>(</w:t>
      </w:r>
      <w:hyperlink r:id="rId51">
        <w:r>
          <w:rPr>
            <w:rStyle w:val="Hyperlink"/>
            <w:rFonts w:ascii="Arial" w:hAnsi="Arial" w:cs="Arial"/>
            <w:color w:val="0000FF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</w:rPr>
          <w:t>262/06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6.7.06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פורסם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אכן בפסקי הדין שצוטטו לעיל נגזר על נאשמים קטינים עונש מאסר בפועל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ולא לתקופות קצרות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וחומרת מעשיהם רבה יותר מחומרת מעשי הנאשמים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הכלל הנובע מן הסיכון שבעבירות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זהה גם בעניננו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כפי שניתן למצוא בנושאים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בנושא שבפנינו ניתן למצוא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כלל ההחמרה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פסיקה 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במקרים דומים לא הורשעו נאשמים קטינים בנסיבות עבירה אף יותר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ראו למשל </w:t>
      </w:r>
      <w:hyperlink r:id="rId5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1012/08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פלוני ואלמוני מיום </w:t>
      </w:r>
      <w:r>
        <w:rPr>
          <w:rFonts w:cs="Arial" w:ascii="Arial" w:hAnsi="Arial"/>
        </w:rPr>
        <w:t>28.9.08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פורסם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color w:val="000000"/>
          <w:rtl w:val="true"/>
        </w:rPr>
        <w:t>ת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ascii="Arial" w:hAnsi="Arial" w:cs="Arial"/>
          <w:color w:val="000000"/>
          <w:rtl w:val="true"/>
        </w:rPr>
        <w:t>מחוזי י</w:t>
      </w:r>
      <w:r>
        <w:rPr>
          <w:rFonts w:cs="Arial" w:ascii="Arial" w:hAnsi="Arial"/>
          <w:color w:val="000000"/>
          <w:rtl w:val="true"/>
        </w:rPr>
        <w:t>-</w:t>
      </w:r>
      <w:r>
        <w:rPr>
          <w:rFonts w:ascii="Arial" w:hAnsi="Arial" w:cs="Arial"/>
          <w:color w:val="000000"/>
          <w:rtl w:val="true"/>
        </w:rPr>
        <w:t>ם</w:t>
      </w:r>
      <w:r>
        <w:rPr>
          <w:rFonts w:cs="Arial" w:ascii="Arial" w:hAnsi="Arial"/>
          <w:color w:val="000000"/>
          <w:rtl w:val="true"/>
        </w:rPr>
        <w:t xml:space="preserve">) </w:t>
      </w:r>
      <w:r>
        <w:rPr>
          <w:rFonts w:cs="Arial" w:ascii="Arial" w:hAnsi="Arial"/>
          <w:color w:val="000000"/>
        </w:rPr>
        <w:t>907/09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ציינה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בן אור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485" w:end="1080"/>
        <w:jc w:val="both"/>
        <w:rPr>
          <w:rFonts w:ascii="Arial" w:hAnsi="Arial"/>
        </w:rPr>
      </w:pP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העבירות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סיכון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חיי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בנתיב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תחבורה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יידוי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אבנים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רכב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המשתמשים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בדרך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נעשות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בדרך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כלל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קטינים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ספק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טמון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בהם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סיכון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ממשי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לחיי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אדם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עם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זאת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בגיל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הקטינות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קיימים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הבדלים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ניכרים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קטינים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הקרובים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לסף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האחריות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הפלילית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לבין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הנמצאים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הבגירות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להבדלי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השנים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בגילאים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משמעות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ניכרת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ויש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השפעה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ממש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בבחינת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ההתייחסות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העונשית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למעשיהם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להביא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בחשבון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המסגרת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המשפחתית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חי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הקטין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ואת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עמדתה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ביחס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למעשה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ככל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שהמשפחה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מעורבת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מתפקדת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ומגָנה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המעשה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נכון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יותר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להעדיף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דרכי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פני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דרכי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הענישה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שכן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ניתן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להניח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שהשילוב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המבחן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והסמכות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ההורית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יביא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שהמעורבות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במעשה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תהיה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בבחינת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ארוע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יחיד</w:t>
      </w:r>
      <w:r>
        <w:rPr>
          <w:rFonts w:cs="Miriam" w:ascii="Arial" w:hAnsi="Arial"/>
          <w:rtl w:val="true"/>
        </w:rPr>
        <w:t>."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דא עקא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שבאותם מקרים המלצתו החד משמעית של שרות המבחן היתה שלא להרשיע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את הקטינים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שהיו בגילאים שבין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עד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מניתי לעיל את מדיניות הענישה הראויה בעניינם של קטינים ובמיוחד של קטינים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קטנים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כשהנאשם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היה בן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שניהם תלמידי תיכון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הבאים ממשפחות תומכות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הודו והביעו חרטה ושיתפו פעולה עם שרות המבחן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המנבא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להם סיכויי שיקום טובים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למדיניות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מעמד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בכורה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לסיכויי השיקום הטובים של 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שהובעו בתסקירי שרות המבחן ולכך שכפי הנראה הסכנה העתידית כי יחזרו על מעשיהם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בכלל על מעשי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נמוכה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אותה מדיניות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ליתן משקל מיוחד להמלצת שרות המבחן בעניינם של קטינים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לטוב ולרע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שהרי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קצין המבחן בענייננו ממליץ להרשיע את שני הנאשמים כחלק מאלמנט ההרתעה ולמען סיכויי השיקום בעוד סנגוריהם מבקשים להמנע מכך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נתתי דעתי לשלילת החירות הארוכה במסגרתה היו נתונים הנאשמים במעצר ובמעצר בית חלקי תקופה ארוכה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לא הפרו תנאים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בהודאתם וחרטתם הנראית לי כנה ואף אלה ילקחו בחשבון במסגרת ענישתם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לזכור כי הנאשמים במקרה שבפני בחרו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פעילות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לסכן ולפגוע בבטחון תושבי המדינה ובמיוחד אלה המשתמשים בכביש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בלי קשר לדתם או גילם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זה ראוי כי על עבירות חמורות ומסוכנות כאלה אשר ביצעו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ייגבה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מחיר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שיש בו ולו מעט משיקול ההרתעה ואין זה ראוי בעיני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הנאשמים יחזרו לבית ספרם כמעין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גיבורים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שביצעו עבירות חמורות והצליחו לחמוק עם עונש קל ביותר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rtl w:val="true"/>
        </w:rPr>
        <w:t>תהא בכך העברת מסר שגוי לציבור הקטינים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שכאמור בפסיקה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הם</w:t>
      </w:r>
      <w:r>
        <w:rPr>
          <w:rFonts w:ascii="Arial" w:hAnsi="Arial" w:cs="Arial"/>
          <w:rtl w:val="true"/>
        </w:rPr>
        <w:t xml:space="preserve"> המבצעים העיקריים של עבירות מסוג העבירות שביצעו הנאשמים ודווקא כלפי אלה שיש להרתיעם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יופנה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חץ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ההרתעה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יש לזכור כי קטינים אינם חסינים בפני ענישה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כליאה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לעקרונות ושיקולי הענישה המיוחדים אשר פורטו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כנימוק לקולא התחשבתי בכך שלמעשה עונשם של הנאשמים אינו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סופי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ובהשיתי עליהם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צו מבחן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היה ויפרו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יהיה לחזור ולהענישם בגין עבירות אלה בעונש נוסף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סוף דבר</w:t>
      </w:r>
    </w:p>
    <w:p>
      <w:pPr>
        <w:pStyle w:val="Normal"/>
        <w:spacing w:lineRule="auto" w:line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בדעה כי כחלק מן העונש הראוי לנאשמים קטינים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להרשיעם בדין למען ידעו 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חבריהם ואלה המתעתדים לעבור עבירות מסוג העבירות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יש דין ודיין ובעצם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הרשעתם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ישאו בחלק מעונשם וזאת אף בהתאם להמלצת קצין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שאיני מוצא נימוק ראוי לסטות הימנה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מן הצד השני אני סבור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הנימוקים לקולא שמניתי וסיכויי השיקום הטובים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עונש מאסר בפועל מאחורי סורג ובריח יחטיא את המטרה העיקרית של שיקום הקטינים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יפגע בראש ובראשונה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גם באינטרס הציבור שהוא שיקומם של קטינים יותר מאשר ענישתם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אשר על 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מרשיע את הנאשמים בעבירות אותן קבעתי כי ביצעו כאמור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הואיל ויש בדעתי לשקול השתת מאסר בפועל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מפנה את עניינו לקבלת חוות דעתו של הממונה על עבודות שרות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אדגיש כי אין לראות בכך התחייבות בדבר העונש שייגזר על 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והוא יישקל וייגזר סופית לאחר קבלת חוות דעתו של הממונה על עבודות שרות כאמור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ששקלתי את כלל השיקולים לקולא ולחומרה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ובהתחשב בגילו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בנסיבותיו האישיות המיוחדות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בהבדלים שבין שני הנאשמים ובין העבירות בהן הורשעו ונסיבותיהן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במדיניות הענישה המיוחדת לקטינים המכוונת בעיקר כלפי שיקומם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גוזר 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לבל יבצע במשך 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אחת העבירות בהן הורשע או נסיון או כל עבירת אלימות או 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24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הנני מעמיד את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בפיקוח קצין מבחן ונותן בזאת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צו מבחן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למשך שנה וחצי מיום גזר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התחייבות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להמנע מכל עבירת אלימות או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למשך שנתיים מיום גזר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פי </w:t>
      </w: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71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4">
        <w:r>
          <w:rPr>
            <w:rStyle w:val="Hyperlink"/>
            <w:rFonts w:ascii="Arial" w:hAnsi="Arial" w:cs="Arial"/>
            <w:color w:val="0000FF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נותן בזאת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צו שירות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בהיקף של </w:t>
      </w:r>
      <w:r>
        <w:rPr>
          <w:rFonts w:cs="Arial" w:ascii="Arial" w:hAnsi="Arial"/>
          <w:b/>
          <w:bCs/>
        </w:rPr>
        <w:t>150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שעות</w:t>
      </w:r>
      <w:r>
        <w:rPr>
          <w:rFonts w:ascii="Arial" w:hAnsi="Arial" w:cs="Arial"/>
          <w:rtl w:val="true"/>
        </w:rPr>
        <w:t xml:space="preserve">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שירות לציבור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ולא רק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כפי שהמליץ קצין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יבצע את עבודות השל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במקום ובתנאים שייקבעו בהתאם לתכנית שהוכנה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המבחן כמפורט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הובהר לנאשם כי דינו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צו השירות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כדין צו מבחן לפי </w:t>
      </w: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6">
        <w:r>
          <w:rPr>
            <w:rStyle w:val="Hyperlink"/>
            <w:rFonts w:ascii="Arial" w:hAnsi="Arial" w:cs="Arial"/>
            <w:color w:val="0000FF"/>
            <w:rtl w:val="true"/>
          </w:rPr>
          <w:t>פקודת המבחן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1969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הובהר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כי היה ולא ימלא אחר הוראות צו המבחן מכל בחינה שהיא או </w:t>
      </w:r>
    </w:p>
    <w:p>
      <w:pPr>
        <w:pStyle w:val="Normal"/>
        <w:ind w:hanging="720" w:start="1440" w:end="0"/>
        <w:jc w:val="center"/>
        <w:rPr>
          <w:rFonts w:ascii="Arial" w:hAnsi="Arial" w:cs="Arial"/>
          <w:bCs/>
          <w:u w:val="single"/>
        </w:rPr>
      </w:pPr>
      <w:bookmarkStart w:id="19" w:name="LastJudge"/>
      <w:bookmarkEnd w:id="19"/>
      <w:r>
        <w:rPr>
          <w:rFonts w:ascii="Arial" w:hAnsi="Arial" w:cs="Arial"/>
          <w:bCs/>
          <w:u w:val="single"/>
          <w:rtl w:val="true"/>
        </w:rPr>
        <w:t>יבצע עבירות נוספות</w:t>
      </w:r>
      <w:r>
        <w:rPr>
          <w:rFonts w:cs="Arial" w:ascii="Arial" w:hAnsi="Arial"/>
          <w:bCs/>
          <w:u w:val="single"/>
          <w:rtl w:val="true"/>
        </w:rPr>
        <w:t xml:space="preserve">, </w:t>
      </w:r>
      <w:r>
        <w:rPr>
          <w:rFonts w:ascii="Arial" w:hAnsi="Arial" w:cs="Arial"/>
          <w:bCs/>
          <w:u w:val="single"/>
          <w:rtl w:val="true"/>
        </w:rPr>
        <w:t>ניתן יהיה להפקיע את צו המבחן ולהענישו עונש נוסף בגין</w:t>
      </w:r>
    </w:p>
    <w:p>
      <w:pPr>
        <w:pStyle w:val="Normal"/>
        <w:ind w:hanging="720" w:start="1440" w:end="0"/>
        <w:jc w:val="both"/>
        <w:rPr/>
      </w:pPr>
      <w:r>
        <w:rPr>
          <w:rFonts w:ascii="Arial" w:hAnsi="Arial" w:cs="Arial"/>
          <w:u w:val="single"/>
          <w:rtl w:val="true"/>
        </w:rPr>
        <w:t>העבירות נשוא תיק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הואיל ומדובר בקטינים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מאפשר פרסום גזר הדין ללא ציון כל פרט העלול לזהות את הנאשמים או משפחותיהם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u w:val="single"/>
          <w:rtl w:val="true"/>
        </w:rPr>
        <w:t>המזכירות</w:t>
      </w:r>
      <w:r>
        <w:rPr>
          <w:rFonts w:ascii="Arial" w:hAnsi="Arial" w:cs="Arial"/>
          <w:rtl w:val="true"/>
        </w:rPr>
        <w:t xml:space="preserve"> תשלח גזר הדין לשרות המבחן לנוער ולממונה על עבודות שרות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מתבקש ליתן חוות דעתו בדבר התאמתו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לריצוי מאסר בעבודות שרות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 ליום </w:t>
      </w:r>
      <w:r>
        <w:rPr>
          <w:rFonts w:cs="Arial" w:ascii="Arial" w:hAnsi="Arial"/>
        </w:rPr>
        <w:t>19.6.11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קובע המשך דיון 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ליום </w:t>
      </w:r>
      <w:r>
        <w:rPr>
          <w:rFonts w:cs="Arial" w:ascii="Arial" w:hAnsi="Arial"/>
        </w:rPr>
        <w:t>21.6.11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שעה </w:t>
      </w:r>
      <w:r>
        <w:rPr>
          <w:rFonts w:cs="Arial" w:ascii="Arial" w:hAnsi="Arial"/>
        </w:rPr>
        <w:t>13:30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הודעה לב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הצדדים ולנאשם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זכות הערעור לבית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24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>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גלעד</w:t>
      </w:r>
      <w:r>
        <w:rPr>
          <w:rtl w:val="true"/>
        </w:rPr>
        <w:t xml:space="preserve">, </w:t>
      </w:r>
      <w:r>
        <w:rPr>
          <w:rtl w:val="true"/>
        </w:rPr>
        <w:t>שופט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  <w:sz w:val="16"/>
          <w:szCs w:val="20"/>
        </w:rPr>
      </w:pPr>
      <w:r>
        <w:rPr>
          <w:sz w:val="16"/>
          <w:sz w:val="16"/>
          <w:szCs w:val="20"/>
          <w:rtl w:val="true"/>
        </w:rPr>
        <w:t>קלדנית</w:t>
      </w:r>
      <w:r>
        <w:rPr>
          <w:sz w:val="16"/>
          <w:szCs w:val="20"/>
          <w:rtl w:val="true"/>
        </w:rPr>
        <w:t xml:space="preserve">: </w:t>
      </w:r>
      <w:r>
        <w:rPr>
          <w:sz w:val="16"/>
          <w:sz w:val="16"/>
          <w:szCs w:val="20"/>
          <w:rtl w:val="true"/>
        </w:rPr>
        <w:t>ליאת</w:t>
      </w:r>
      <w:r>
        <w:rPr>
          <w:rFonts w:cs="Times New Roman"/>
          <w:sz w:val="16"/>
          <w:sz w:val="16"/>
          <w:szCs w:val="20"/>
          <w:rtl w:val="true"/>
        </w:rPr>
        <w:t xml:space="preserve"> </w:t>
      </w:r>
      <w:r>
        <w:rPr>
          <w:sz w:val="16"/>
          <w:sz w:val="16"/>
          <w:szCs w:val="20"/>
          <w:rtl w:val="true"/>
        </w:rPr>
        <w:t>פ</w:t>
      </w:r>
      <w:r>
        <w:rPr>
          <w:sz w:val="16"/>
          <w:szCs w:val="20"/>
          <w:rtl w:val="true"/>
        </w:rPr>
        <w:t xml:space="preserve">. </w:t>
      </w:r>
    </w:p>
    <w:p>
      <w:pPr>
        <w:pStyle w:val="Normal"/>
        <w:ind w:end="0"/>
        <w:jc w:val="start"/>
        <w:rPr>
          <w:sz w:val="16"/>
          <w:szCs w:val="20"/>
        </w:rPr>
      </w:pPr>
      <w:r>
        <w:rPr>
          <w:color w:val="000000"/>
          <w:sz w:val="16"/>
          <w:sz w:val="16"/>
          <w:szCs w:val="20"/>
          <w:rtl w:val="true"/>
        </w:rPr>
        <w:t>נוסח</w:t>
      </w:r>
      <w:r>
        <w:rPr>
          <w:rFonts w:cs="Times New Roman"/>
          <w:color w:val="000000"/>
          <w:sz w:val="16"/>
          <w:sz w:val="16"/>
          <w:szCs w:val="20"/>
          <w:rtl w:val="true"/>
        </w:rPr>
        <w:t xml:space="preserve"> </w:t>
      </w:r>
      <w:r>
        <w:rPr>
          <w:color w:val="000000"/>
          <w:sz w:val="16"/>
          <w:sz w:val="16"/>
          <w:szCs w:val="20"/>
          <w:rtl w:val="true"/>
        </w:rPr>
        <w:t>מסמך</w:t>
      </w:r>
      <w:r>
        <w:rPr>
          <w:rFonts w:cs="Times New Roman"/>
          <w:color w:val="000000"/>
          <w:sz w:val="16"/>
          <w:sz w:val="16"/>
          <w:szCs w:val="20"/>
          <w:rtl w:val="true"/>
        </w:rPr>
        <w:t xml:space="preserve"> </w:t>
      </w:r>
      <w:r>
        <w:rPr>
          <w:color w:val="000000"/>
          <w:sz w:val="16"/>
          <w:sz w:val="16"/>
          <w:szCs w:val="20"/>
          <w:rtl w:val="true"/>
        </w:rPr>
        <w:t>זה</w:t>
      </w:r>
      <w:r>
        <w:rPr>
          <w:rFonts w:cs="Times New Roman"/>
          <w:color w:val="000000"/>
          <w:sz w:val="16"/>
          <w:sz w:val="16"/>
          <w:szCs w:val="20"/>
          <w:rtl w:val="true"/>
        </w:rPr>
        <w:t xml:space="preserve"> </w:t>
      </w:r>
      <w:r>
        <w:rPr>
          <w:color w:val="000000"/>
          <w:sz w:val="16"/>
          <w:sz w:val="16"/>
          <w:szCs w:val="20"/>
          <w:rtl w:val="true"/>
        </w:rPr>
        <w:t>כפוף</w:t>
      </w:r>
      <w:r>
        <w:rPr>
          <w:rFonts w:cs="Times New Roman"/>
          <w:color w:val="000000"/>
          <w:sz w:val="16"/>
          <w:sz w:val="16"/>
          <w:szCs w:val="20"/>
          <w:rtl w:val="true"/>
        </w:rPr>
        <w:t xml:space="preserve"> </w:t>
      </w:r>
      <w:r>
        <w:rPr>
          <w:color w:val="000000"/>
          <w:sz w:val="16"/>
          <w:sz w:val="16"/>
          <w:szCs w:val="20"/>
          <w:rtl w:val="true"/>
        </w:rPr>
        <w:t>לשינויי</w:t>
      </w:r>
      <w:r>
        <w:rPr>
          <w:rFonts w:cs="Times New Roman"/>
          <w:color w:val="000000"/>
          <w:sz w:val="16"/>
          <w:sz w:val="16"/>
          <w:szCs w:val="20"/>
          <w:rtl w:val="true"/>
        </w:rPr>
        <w:t xml:space="preserve"> </w:t>
      </w:r>
      <w:r>
        <w:rPr>
          <w:color w:val="000000"/>
          <w:sz w:val="16"/>
          <w:sz w:val="16"/>
          <w:szCs w:val="20"/>
          <w:rtl w:val="true"/>
        </w:rPr>
        <w:t>ניסוח</w:t>
      </w:r>
      <w:r>
        <w:rPr>
          <w:rFonts w:cs="Times New Roman"/>
          <w:color w:val="000000"/>
          <w:sz w:val="16"/>
          <w:sz w:val="16"/>
          <w:szCs w:val="20"/>
          <w:rtl w:val="true"/>
        </w:rPr>
        <w:t xml:space="preserve"> </w:t>
      </w:r>
      <w:r>
        <w:rPr>
          <w:color w:val="000000"/>
          <w:sz w:val="16"/>
          <w:sz w:val="16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sz w:val="16"/>
          <w:u w:val="single"/>
        </w:rPr>
      </w:pPr>
      <w:r>
        <w:rPr>
          <w:color w:val="000000"/>
          <w:sz w:val="16"/>
          <w:sz w:val="16"/>
          <w:rtl w:val="true"/>
        </w:rPr>
        <w:t>בעניין</w:t>
      </w:r>
      <w:r>
        <w:rPr>
          <w:rFonts w:cs="Times New Roman"/>
          <w:color w:val="000000"/>
          <w:sz w:val="16"/>
          <w:sz w:val="16"/>
          <w:rtl w:val="true"/>
        </w:rPr>
        <w:t xml:space="preserve"> </w:t>
      </w:r>
      <w:r>
        <w:rPr>
          <w:color w:val="000000"/>
          <w:sz w:val="16"/>
          <w:sz w:val="16"/>
          <w:rtl w:val="true"/>
        </w:rPr>
        <w:t>עריכה</w:t>
      </w:r>
      <w:r>
        <w:rPr>
          <w:rFonts w:cs="Times New Roman"/>
          <w:color w:val="000000"/>
          <w:sz w:val="16"/>
          <w:sz w:val="16"/>
          <w:rtl w:val="true"/>
        </w:rPr>
        <w:t xml:space="preserve"> </w:t>
      </w:r>
      <w:r>
        <w:rPr>
          <w:color w:val="000000"/>
          <w:sz w:val="16"/>
          <w:sz w:val="16"/>
          <w:rtl w:val="true"/>
        </w:rPr>
        <w:t>ושינויים</w:t>
      </w:r>
      <w:r>
        <w:rPr>
          <w:rFonts w:cs="Times New Roman"/>
          <w:color w:val="000000"/>
          <w:sz w:val="16"/>
          <w:sz w:val="16"/>
          <w:rtl w:val="true"/>
        </w:rPr>
        <w:t xml:space="preserve"> </w:t>
      </w:r>
      <w:r>
        <w:rPr>
          <w:color w:val="000000"/>
          <w:sz w:val="16"/>
          <w:sz w:val="16"/>
          <w:rtl w:val="true"/>
        </w:rPr>
        <w:t>במסמכי</w:t>
      </w:r>
      <w:r>
        <w:rPr>
          <w:rFonts w:cs="Times New Roman"/>
          <w:color w:val="000000"/>
          <w:sz w:val="16"/>
          <w:sz w:val="16"/>
          <w:rtl w:val="true"/>
        </w:rPr>
        <w:t xml:space="preserve"> </w:t>
      </w:r>
      <w:r>
        <w:rPr>
          <w:color w:val="000000"/>
          <w:sz w:val="16"/>
          <w:sz w:val="16"/>
          <w:rtl w:val="true"/>
        </w:rPr>
        <w:t>פסיקה</w:t>
      </w:r>
      <w:r>
        <w:rPr>
          <w:color w:val="000000"/>
          <w:sz w:val="16"/>
          <w:rtl w:val="true"/>
        </w:rPr>
        <w:t xml:space="preserve">, </w:t>
      </w:r>
      <w:r>
        <w:rPr>
          <w:color w:val="000000"/>
          <w:sz w:val="16"/>
          <w:sz w:val="16"/>
          <w:rtl w:val="true"/>
        </w:rPr>
        <w:t>חקיקה</w:t>
      </w:r>
      <w:r>
        <w:rPr>
          <w:rFonts w:cs="Times New Roman"/>
          <w:color w:val="000000"/>
          <w:sz w:val="16"/>
          <w:sz w:val="16"/>
          <w:rtl w:val="true"/>
        </w:rPr>
        <w:t xml:space="preserve"> </w:t>
      </w:r>
      <w:r>
        <w:rPr>
          <w:color w:val="000000"/>
          <w:sz w:val="16"/>
          <w:sz w:val="16"/>
          <w:rtl w:val="true"/>
        </w:rPr>
        <w:t>ועוד</w:t>
      </w:r>
      <w:r>
        <w:rPr>
          <w:rFonts w:cs="Times New Roman"/>
          <w:color w:val="000000"/>
          <w:sz w:val="16"/>
          <w:sz w:val="16"/>
          <w:rtl w:val="true"/>
        </w:rPr>
        <w:t xml:space="preserve"> </w:t>
      </w:r>
      <w:r>
        <w:rPr>
          <w:color w:val="000000"/>
          <w:sz w:val="16"/>
          <w:sz w:val="16"/>
          <w:rtl w:val="true"/>
        </w:rPr>
        <w:t>באתר</w:t>
      </w:r>
      <w:r>
        <w:rPr>
          <w:rFonts w:cs="Times New Roman"/>
          <w:color w:val="000000"/>
          <w:sz w:val="16"/>
          <w:sz w:val="16"/>
          <w:rtl w:val="true"/>
        </w:rPr>
        <w:t xml:space="preserve"> </w:t>
      </w:r>
      <w:r>
        <w:rPr>
          <w:color w:val="000000"/>
          <w:sz w:val="16"/>
          <w:sz w:val="16"/>
          <w:rtl w:val="true"/>
        </w:rPr>
        <w:t>נבו</w:t>
      </w:r>
      <w:r>
        <w:rPr>
          <w:rFonts w:cs="Times New Roman"/>
          <w:color w:val="000000"/>
          <w:sz w:val="16"/>
          <w:sz w:val="16"/>
          <w:rtl w:val="true"/>
        </w:rPr>
        <w:t xml:space="preserve"> </w:t>
      </w:r>
      <w:r>
        <w:rPr>
          <w:color w:val="000000"/>
          <w:sz w:val="16"/>
          <w:sz w:val="16"/>
          <w:rtl w:val="true"/>
        </w:rPr>
        <w:t>–</w:t>
      </w:r>
      <w:r>
        <w:rPr>
          <w:rFonts w:cs="Times New Roman"/>
          <w:color w:val="000000"/>
          <w:sz w:val="16"/>
          <w:sz w:val="16"/>
          <w:rtl w:val="true"/>
        </w:rPr>
        <w:t xml:space="preserve"> </w:t>
      </w:r>
      <w:r>
        <w:rPr>
          <w:color w:val="000000"/>
          <w:sz w:val="16"/>
          <w:sz w:val="16"/>
          <w:rtl w:val="true"/>
        </w:rPr>
        <w:t>הקש</w:t>
      </w:r>
      <w:r>
        <w:rPr>
          <w:rFonts w:cs="Times New Roman"/>
          <w:color w:val="000000"/>
          <w:sz w:val="16"/>
          <w:sz w:val="16"/>
          <w:rtl w:val="true"/>
        </w:rPr>
        <w:t xml:space="preserve"> </w:t>
      </w:r>
      <w:r>
        <w:rPr>
          <w:color w:val="000000"/>
          <w:sz w:val="16"/>
          <w:sz w:val="16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sz w:val="16"/>
          <w:u w:val="single"/>
        </w:rPr>
      </w:pPr>
      <w:r>
        <w:rPr>
          <w:color w:val="0000FF"/>
          <w:sz w:val="16"/>
          <w:u w:val="single"/>
          <w:rtl w:val="true"/>
        </w:rPr>
      </w:r>
    </w:p>
    <w:sectPr>
      <w:headerReference w:type="default" r:id="rId57"/>
      <w:footerReference w:type="default" r:id="rId58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26885-06-10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פלוני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קטין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alertInvalidDocument" w:val="-1"/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14812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Normal1">
    <w:name w:val="Normal1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1553" TargetMode="External"/><Relationship Id="rId3" Type="http://schemas.openxmlformats.org/officeDocument/2006/relationships/hyperlink" Target="http://www.nevo.co.il/law/71553/1.2" TargetMode="External"/><Relationship Id="rId4" Type="http://schemas.openxmlformats.org/officeDocument/2006/relationships/hyperlink" Target="http://www.nevo.co.il/law/71553/2" TargetMode="External"/><Relationship Id="rId5" Type="http://schemas.openxmlformats.org/officeDocument/2006/relationships/hyperlink" Target="http://www.nevo.co.il/law/71553/9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law/70301/71a.b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44.c.2" TargetMode="External"/><Relationship Id="rId13" Type="http://schemas.openxmlformats.org/officeDocument/2006/relationships/hyperlink" Target="http://www.nevo.co.il/law/70301/144.c.3" TargetMode="External"/><Relationship Id="rId14" Type="http://schemas.openxmlformats.org/officeDocument/2006/relationships/hyperlink" Target="http://www.nevo.co.il/law/70301/330" TargetMode="External"/><Relationship Id="rId15" Type="http://schemas.openxmlformats.org/officeDocument/2006/relationships/hyperlink" Target="http://www.nevo.co.il/law/70301/332.2" TargetMode="External"/><Relationship Id="rId16" Type="http://schemas.openxmlformats.org/officeDocument/2006/relationships/hyperlink" Target="http://www.nevo.co.il/law/70301/332.3" TargetMode="External"/><Relationship Id="rId17" Type="http://schemas.openxmlformats.org/officeDocument/2006/relationships/hyperlink" Target="http://www.nevo.co.il/law/70348" TargetMode="External"/><Relationship Id="rId18" Type="http://schemas.openxmlformats.org/officeDocument/2006/relationships/hyperlink" Target="http://www.nevo.co.il/law/70348/1a.a" TargetMode="External"/><Relationship Id="rId19" Type="http://schemas.openxmlformats.org/officeDocument/2006/relationships/hyperlink" Target="http://www.nevo.co.il/law/71553" TargetMode="External"/><Relationship Id="rId20" Type="http://schemas.openxmlformats.org/officeDocument/2006/relationships/hyperlink" Target="http://www.nevo.co.il/law/71553" TargetMode="External"/><Relationship Id="rId21" Type="http://schemas.openxmlformats.org/officeDocument/2006/relationships/hyperlink" Target="http://www.nevo.co.il/law/70301/332.3" TargetMode="External"/><Relationship Id="rId22" Type="http://schemas.openxmlformats.org/officeDocument/2006/relationships/hyperlink" Target="http://www.nevo.co.il/law/70301/332.2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/144.c.3" TargetMode="External"/><Relationship Id="rId28" Type="http://schemas.openxmlformats.org/officeDocument/2006/relationships/hyperlink" Target="http://www.nevo.co.il/law/70301/3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32.3" TargetMode="External"/><Relationship Id="rId31" Type="http://schemas.openxmlformats.org/officeDocument/2006/relationships/hyperlink" Target="http://www.nevo.co.il/law/70301/332.2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law/70301/144.b2" TargetMode="External"/><Relationship Id="rId36" Type="http://schemas.openxmlformats.org/officeDocument/2006/relationships/hyperlink" Target="http://www.nevo.co.il/law/70301/144.c.2" TargetMode="External"/><Relationship Id="rId37" Type="http://schemas.openxmlformats.org/officeDocument/2006/relationships/hyperlink" Target="http://www.nevo.co.il/law/70301/144.c.3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30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5810781" TargetMode="External"/><Relationship Id="rId42" Type="http://schemas.openxmlformats.org/officeDocument/2006/relationships/hyperlink" Target="http://www.nevo.co.il/law/70348/1a.a" TargetMode="External"/><Relationship Id="rId43" Type="http://schemas.openxmlformats.org/officeDocument/2006/relationships/hyperlink" Target="http://www.nevo.co.il/law/70348" TargetMode="External"/><Relationship Id="rId44" Type="http://schemas.openxmlformats.org/officeDocument/2006/relationships/hyperlink" Target="http://www.nevo.co.il/case/2237972" TargetMode="External"/><Relationship Id="rId45" Type="http://schemas.openxmlformats.org/officeDocument/2006/relationships/hyperlink" Target="http://www.nevo.co.il/case/2237972" TargetMode="External"/><Relationship Id="rId46" Type="http://schemas.openxmlformats.org/officeDocument/2006/relationships/hyperlink" Target="http://www.nevo.co.il/law/71553/1.2" TargetMode="External"/><Relationship Id="rId47" Type="http://schemas.openxmlformats.org/officeDocument/2006/relationships/hyperlink" Target="http://www.nevo.co.il/law/71553" TargetMode="External"/><Relationship Id="rId48" Type="http://schemas.openxmlformats.org/officeDocument/2006/relationships/hyperlink" Target="http://www.nevo.co.il/law/71553/2" TargetMode="External"/><Relationship Id="rId49" Type="http://schemas.openxmlformats.org/officeDocument/2006/relationships/hyperlink" Target="http://www.nevo.co.il/law/71553" TargetMode="External"/><Relationship Id="rId50" Type="http://schemas.openxmlformats.org/officeDocument/2006/relationships/hyperlink" Target="http://www.nevo.co.il/case/17932358" TargetMode="External"/><Relationship Id="rId51" Type="http://schemas.openxmlformats.org/officeDocument/2006/relationships/hyperlink" Target="http://www.nevo.co.il/case/6188919" TargetMode="External"/><Relationship Id="rId52" Type="http://schemas.openxmlformats.org/officeDocument/2006/relationships/hyperlink" Target="http://www.nevo.co.il/case/2243546" TargetMode="External"/><Relationship Id="rId53" Type="http://schemas.openxmlformats.org/officeDocument/2006/relationships/hyperlink" Target="http://www.nevo.co.il/law/70301/71a.b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1553/9" TargetMode="External"/><Relationship Id="rId56" Type="http://schemas.openxmlformats.org/officeDocument/2006/relationships/hyperlink" Target="http://www.nevo.co.il/law/71553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2015-03-18T11:20:00Z</dcterms:created>
  <dc:creator> </dc:creator>
  <dc:description/>
  <cp:keywords/>
  <dc:language>en-IL</dc:language>
  <cp:lastModifiedBy>hofit</cp:lastModifiedBy>
  <cp:lastPrinted>2011-05-31T11:23:00Z</cp:lastPrinted>
  <dcterms:modified xsi:type="dcterms:W3CDTF">2015-03-18T11:20:00Z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 (קטין);פלוני (קטין)‏</vt:lpwstr>
  </property>
  <property fmtid="{D5CDD505-2E9C-101B-9397-08002B2CF9AE}" pid="4" name="CASENOTES1">
    <vt:lpwstr>ProcID=209&amp;PartA=1012&amp;PartC=08</vt:lpwstr>
  </property>
  <property fmtid="{D5CDD505-2E9C-101B-9397-08002B2CF9AE}" pid="5" name="CASENOTES2">
    <vt:lpwstr>ProcID=209&amp;PartA=907&amp;PartC=09</vt:lpwstr>
  </property>
  <property fmtid="{D5CDD505-2E9C-101B-9397-08002B2CF9AE}" pid="6" name="CASESLISTTMP1">
    <vt:lpwstr>5810781;2237972:2;17932358;6188919</vt:lpwstr>
  </property>
  <property fmtid="{D5CDD505-2E9C-101B-9397-08002B2CF9AE}" pid="7" name="CITY">
    <vt:lpwstr>חי'</vt:lpwstr>
  </property>
  <property fmtid="{D5CDD505-2E9C-101B-9397-08002B2CF9AE}" pid="8" name="DATE">
    <vt:lpwstr>20110531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מ' גלעד</vt:lpwstr>
  </property>
  <property fmtid="{D5CDD505-2E9C-101B-9397-08002B2CF9AE}" pid="12" name="LAWLISTTMP1">
    <vt:lpwstr>71553/001.2;002;009</vt:lpwstr>
  </property>
  <property fmtid="{D5CDD505-2E9C-101B-9397-08002B2CF9AE}" pid="13" name="LAWLISTTMP2">
    <vt:lpwstr>70301/332.3:2;332.2:2;029:2;144.b:2;144.b2:2;144.c.3:2;031;144.c.2;330;071a.b</vt:lpwstr>
  </property>
  <property fmtid="{D5CDD505-2E9C-101B-9397-08002B2CF9AE}" pid="14" name="LAWLISTTMP3">
    <vt:lpwstr>70348/001a.a</vt:lpwstr>
  </property>
  <property fmtid="{D5CDD505-2E9C-101B-9397-08002B2CF9AE}" pid="15" name="LAWYER">
    <vt:lpwstr>ל. תמיר;י. נדשי; ס. ואקים</vt:lpwstr>
  </property>
  <property fmtid="{D5CDD505-2E9C-101B-9397-08002B2CF9AE}" pid="16" name="LINKK1">
    <vt:lpwstr/>
  </property>
  <property fmtid="{D5CDD505-2E9C-101B-9397-08002B2CF9AE}" pid="17" name="LINKK10">
    <vt:lpwstr/>
  </property>
  <property fmtid="{D5CDD505-2E9C-101B-9397-08002B2CF9AE}" pid="18" name="LINKK11">
    <vt:lpwstr/>
  </property>
  <property fmtid="{D5CDD505-2E9C-101B-9397-08002B2CF9AE}" pid="19" name="LINKK12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NEWPARTA">
    <vt:lpwstr>26885</vt:lpwstr>
  </property>
  <property fmtid="{D5CDD505-2E9C-101B-9397-08002B2CF9AE}" pid="29" name="NEWPARTB">
    <vt:lpwstr>06</vt:lpwstr>
  </property>
  <property fmtid="{D5CDD505-2E9C-101B-9397-08002B2CF9AE}" pid="30" name="NEWPARTC">
    <vt:lpwstr>10</vt:lpwstr>
  </property>
  <property fmtid="{D5CDD505-2E9C-101B-9397-08002B2CF9AE}" pid="31" name="NEWPROC">
    <vt:lpwstr>תפ</vt:lpwstr>
  </property>
  <property fmtid="{D5CDD505-2E9C-101B-9397-08002B2CF9AE}" pid="32" name="NOSE11">
    <vt:lpwstr>נוער</vt:lpwstr>
  </property>
  <property fmtid="{D5CDD505-2E9C-101B-9397-08002B2CF9AE}" pid="33" name="NOSE110">
    <vt:lpwstr/>
  </property>
  <property fmtid="{D5CDD505-2E9C-101B-9397-08002B2CF9AE}" pid="34" name="NOSE12">
    <vt:lpwstr>נוער</vt:lpwstr>
  </property>
  <property fmtid="{D5CDD505-2E9C-101B-9397-08002B2CF9AE}" pid="35" name="NOSE13">
    <vt:lpwstr>עונשין</vt:lpwstr>
  </property>
  <property fmtid="{D5CDD505-2E9C-101B-9397-08002B2CF9AE}" pid="36" name="NOSE14">
    <vt:lpwstr>עונשין</vt:lpwstr>
  </property>
  <property fmtid="{D5CDD505-2E9C-101B-9397-08002B2CF9AE}" pid="37" name="NOSE15">
    <vt:lpwstr>עונשין</vt:lpwstr>
  </property>
  <property fmtid="{D5CDD505-2E9C-101B-9397-08002B2CF9AE}" pid="38" name="NOSE16">
    <vt:lpwstr>נוער</vt:lpwstr>
  </property>
  <property fmtid="{D5CDD505-2E9C-101B-9397-08002B2CF9AE}" pid="39" name="NOSE17">
    <vt:lpwstr/>
  </property>
  <property fmtid="{D5CDD505-2E9C-101B-9397-08002B2CF9AE}" pid="40" name="NOSE18">
    <vt:lpwstr/>
  </property>
  <property fmtid="{D5CDD505-2E9C-101B-9397-08002B2CF9AE}" pid="41" name="NOSE19">
    <vt:lpwstr/>
  </property>
  <property fmtid="{D5CDD505-2E9C-101B-9397-08002B2CF9AE}" pid="42" name="NOSE21">
    <vt:lpwstr>ענישה</vt:lpwstr>
  </property>
  <property fmtid="{D5CDD505-2E9C-101B-9397-08002B2CF9AE}" pid="43" name="NOSE210">
    <vt:lpwstr/>
  </property>
  <property fmtid="{D5CDD505-2E9C-101B-9397-08002B2CF9AE}" pid="44" name="NOSE22">
    <vt:lpwstr>ענישה</vt:lpwstr>
  </property>
  <property fmtid="{D5CDD505-2E9C-101B-9397-08002B2CF9AE}" pid="45" name="NOSE23">
    <vt:lpwstr>ענישה</vt:lpwstr>
  </property>
  <property fmtid="{D5CDD505-2E9C-101B-9397-08002B2CF9AE}" pid="46" name="NOSE24">
    <vt:lpwstr>ענישה</vt:lpwstr>
  </property>
  <property fmtid="{D5CDD505-2E9C-101B-9397-08002B2CF9AE}" pid="47" name="NOSE25">
    <vt:lpwstr>ענישה</vt:lpwstr>
  </property>
  <property fmtid="{D5CDD505-2E9C-101B-9397-08002B2CF9AE}" pid="48" name="NOSE26">
    <vt:lpwstr>שירות המבחן לנוער</vt:lpwstr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31">
    <vt:lpwstr>שיקול בית-המשפט</vt:lpwstr>
  </property>
  <property fmtid="{D5CDD505-2E9C-101B-9397-08002B2CF9AE}" pid="53" name="NOSE310">
    <vt:lpwstr/>
  </property>
  <property fmtid="{D5CDD505-2E9C-101B-9397-08002B2CF9AE}" pid="54" name="NOSE32">
    <vt:lpwstr>דרכי ענישה</vt:lpwstr>
  </property>
  <property fmtid="{D5CDD505-2E9C-101B-9397-08002B2CF9AE}" pid="55" name="NOSE33">
    <vt:lpwstr>דרכי ענישה: נוער</vt:lpwstr>
  </property>
  <property fmtid="{D5CDD505-2E9C-101B-9397-08002B2CF9AE}" pid="56" name="NOSE34">
    <vt:lpwstr>מדיניות ענישה: נוער</vt:lpwstr>
  </property>
  <property fmtid="{D5CDD505-2E9C-101B-9397-08002B2CF9AE}" pid="57" name="NOSE35">
    <vt:lpwstr>מדיניות ענישה: שיקולים</vt:lpwstr>
  </property>
  <property fmtid="{D5CDD505-2E9C-101B-9397-08002B2CF9AE}" pid="58" name="NOSE36">
    <vt:lpwstr>תפקידו</vt:lpwstr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PadiDate">
    <vt:lpwstr>20110605</vt:lpwstr>
  </property>
  <property fmtid="{D5CDD505-2E9C-101B-9397-08002B2CF9AE}" pid="70" name="RemarkFileName">
    <vt:lpwstr>mechozi me 10 06 26885 4 htm</vt:lpwstr>
  </property>
  <property fmtid="{D5CDD505-2E9C-101B-9397-08002B2CF9AE}" pid="71" name="TYPE">
    <vt:lpwstr>2</vt:lpwstr>
  </property>
  <property fmtid="{D5CDD505-2E9C-101B-9397-08002B2CF9AE}" pid="72" name="TYPE_ABS_DATE">
    <vt:lpwstr>390120110531</vt:lpwstr>
  </property>
  <property fmtid="{D5CDD505-2E9C-101B-9397-08002B2CF9AE}" pid="73" name="TYPE_N_DATE">
    <vt:lpwstr>39020110531</vt:lpwstr>
  </property>
  <property fmtid="{D5CDD505-2E9C-101B-9397-08002B2CF9AE}" pid="74" name="VOLUME">
    <vt:lpwstr/>
  </property>
  <property fmtid="{D5CDD505-2E9C-101B-9397-08002B2CF9AE}" pid="75" name="WORDNUMPAGES">
    <vt:lpwstr>17</vt:lpwstr>
  </property>
</Properties>
</file>