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3973"/>
        <w:gridCol w:w="1068"/>
        <w:gridCol w:w="3679"/>
      </w:tblGrid>
      <w:tr>
        <w:trPr>
          <w:trHeight w:val="418" w:hRule="exact"/>
        </w:trPr>
        <w:tc>
          <w:tcPr>
            <w:tcW w:w="8720" w:type="dxa"/>
            <w:gridSpan w:val="3"/>
            <w:tcBorders/>
          </w:tcPr>
          <w:p>
            <w:pPr>
              <w:pStyle w:val="Header"/>
              <w:tabs>
                <w:tab w:val="clear" w:pos="720"/>
              </w:tabs>
              <w:ind w:end="0"/>
              <w:jc w:val="center"/>
              <w:rPr>
                <w:rFonts w:ascii="Tahoma" w:hAnsi="Tahoma" w:cs="Tahoma"/>
                <w:b/>
                <w:bCs/>
                <w:color w:val="000080"/>
                <w:sz w:val="20"/>
                <w:szCs w:val="20"/>
              </w:rPr>
            </w:pPr>
            <w:bookmarkStart w:id="0" w:name="LastJudge"/>
            <w:bookmarkEnd w:id="0"/>
            <w:r>
              <w:rPr>
                <w:rFonts w:ascii="Tahoma" w:hAnsi="Tahoma" w:cs="Tahoma"/>
                <w:b/>
                <w:b/>
                <w:bCs/>
                <w:color w:val="000080"/>
                <w:sz w:val="20"/>
                <w:sz w:val="20"/>
                <w:szCs w:val="20"/>
                <w:rtl w:val="true"/>
              </w:rPr>
              <w:t>בית משפט השלום בבאר שבע</w:t>
            </w:r>
          </w:p>
        </w:tc>
      </w:tr>
      <w:tr>
        <w:trPr>
          <w:trHeight w:val="337" w:hRule="atLeast"/>
        </w:trPr>
        <w:tc>
          <w:tcPr>
            <w:tcW w:w="3973" w:type="dxa"/>
            <w:tcBorders/>
          </w:tcPr>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פ</w:t>
            </w:r>
            <w:r>
              <w:rPr>
                <w:b/>
                <w:b/>
                <w:bCs/>
                <w:sz w:val="26"/>
                <w:sz w:val="26"/>
                <w:szCs w:val="26"/>
                <w:rtl w:val="true"/>
              </w:rPr>
              <w:t xml:space="preserve"> </w:t>
            </w:r>
            <w:r>
              <w:rPr>
                <w:b/>
                <w:bCs/>
                <w:sz w:val="26"/>
                <w:szCs w:val="26"/>
              </w:rPr>
              <w:t>2690-09</w:t>
            </w:r>
            <w:r>
              <w:rPr>
                <w:b/>
                <w:bCs/>
                <w:sz w:val="26"/>
                <w:szCs w:val="26"/>
                <w:rtl w:val="true"/>
              </w:rPr>
              <w:t xml:space="preserve"> </w:t>
            </w:r>
            <w:r>
              <w:rPr>
                <w:b/>
                <w:b/>
                <w:bCs/>
                <w:sz w:val="26"/>
                <w:sz w:val="26"/>
                <w:szCs w:val="26"/>
                <w:rtl w:val="true"/>
              </w:rPr>
              <w:t>מ</w:t>
            </w:r>
            <w:r>
              <w:rPr>
                <w:b/>
                <w:bCs/>
                <w:sz w:val="26"/>
                <w:szCs w:val="26"/>
                <w:rtl w:val="true"/>
              </w:rPr>
              <w:t>.</w:t>
            </w:r>
            <w:r>
              <w:rPr>
                <w:b/>
                <w:b/>
                <w:bCs/>
                <w:sz w:val="26"/>
                <w:sz w:val="26"/>
                <w:szCs w:val="26"/>
                <w:rtl w:val="true"/>
              </w:rPr>
              <w:t>י</w:t>
            </w:r>
            <w:r>
              <w:rPr>
                <w:b/>
                <w:bCs/>
                <w:sz w:val="26"/>
                <w:szCs w:val="26"/>
                <w:rtl w:val="true"/>
              </w:rPr>
              <w:t xml:space="preserve">. </w:t>
            </w:r>
            <w:r>
              <w:rPr>
                <w:b/>
                <w:b/>
                <w:bCs/>
                <w:sz w:val="26"/>
                <w:sz w:val="26"/>
                <w:szCs w:val="26"/>
                <w:rtl w:val="true"/>
              </w:rPr>
              <w:t>פרקליטות מחוז דרום</w:t>
            </w:r>
            <w:r>
              <w:rPr>
                <w:b/>
                <w:bCs/>
                <w:sz w:val="26"/>
                <w:szCs w:val="26"/>
                <w:rtl w:val="true"/>
              </w:rPr>
              <w:t>-</w:t>
            </w:r>
            <w:r>
              <w:rPr>
                <w:b/>
                <w:b/>
                <w:bCs/>
                <w:sz w:val="26"/>
                <w:sz w:val="26"/>
                <w:szCs w:val="26"/>
                <w:rtl w:val="true"/>
              </w:rPr>
              <w:t>פלילי נ</w:t>
            </w:r>
            <w:r>
              <w:rPr>
                <w:b/>
                <w:bCs/>
                <w:sz w:val="26"/>
                <w:szCs w:val="26"/>
                <w:rtl w:val="true"/>
              </w:rPr>
              <w:t xml:space="preserve">' </w:t>
            </w:r>
            <w:r>
              <w:rPr>
                <w:b/>
                <w:b/>
                <w:bCs/>
                <w:sz w:val="26"/>
                <w:sz w:val="26"/>
                <w:szCs w:val="26"/>
                <w:rtl w:val="true"/>
              </w:rPr>
              <w:t>אבו עגאג</w:t>
            </w:r>
          </w:p>
        </w:tc>
        <w:tc>
          <w:tcPr>
            <w:tcW w:w="1068" w:type="dxa"/>
            <w:tcBorders/>
          </w:tcPr>
          <w:p>
            <w:pPr>
              <w:pStyle w:val="Header"/>
              <w:snapToGrid w:val="false"/>
              <w:ind w:end="0"/>
              <w:jc w:val="end"/>
              <w:rPr>
                <w:b/>
                <w:bCs/>
                <w:sz w:val="26"/>
                <w:szCs w:val="26"/>
              </w:rPr>
            </w:pPr>
            <w:r>
              <w:rPr>
                <w:b/>
                <w:bCs/>
                <w:sz w:val="26"/>
                <w:szCs w:val="26"/>
                <w:rtl w:val="true"/>
              </w:rPr>
            </w:r>
          </w:p>
        </w:tc>
        <w:tc>
          <w:tcPr>
            <w:tcW w:w="3679" w:type="dxa"/>
            <w:tcBorders/>
          </w:tcPr>
          <w:p>
            <w:pPr>
              <w:pStyle w:val="Header"/>
              <w:tabs>
                <w:tab w:val="clear" w:pos="720"/>
              </w:tabs>
              <w:ind w:end="0"/>
              <w:jc w:val="end"/>
              <w:rPr>
                <w:b/>
                <w:bCs/>
                <w:sz w:val="26"/>
                <w:szCs w:val="26"/>
              </w:rPr>
            </w:pPr>
            <w:r>
              <w:rPr>
                <w:b/>
                <w:bCs/>
                <w:sz w:val="26"/>
                <w:szCs w:val="26"/>
              </w:rPr>
              <w:t>10</w:t>
            </w:r>
            <w:r>
              <w:rPr>
                <w:b/>
                <w:bCs/>
                <w:sz w:val="26"/>
                <w:szCs w:val="26"/>
                <w:rtl w:val="true"/>
              </w:rPr>
              <w:t xml:space="preserve"> </w:t>
            </w:r>
            <w:r>
              <w:rPr>
                <w:b/>
                <w:b/>
                <w:bCs/>
                <w:sz w:val="26"/>
                <w:sz w:val="26"/>
                <w:szCs w:val="26"/>
                <w:rtl w:val="true"/>
              </w:rPr>
              <w:t xml:space="preserve">אפריל </w:t>
            </w:r>
            <w:r>
              <w:rPr>
                <w:b/>
                <w:bCs/>
                <w:sz w:val="26"/>
                <w:szCs w:val="26"/>
              </w:rPr>
              <w:t>2011</w:t>
            </w:r>
          </w:p>
        </w:tc>
      </w:tr>
    </w:tbl>
    <w:p>
      <w:pPr>
        <w:pStyle w:val="Normal"/>
        <w:spacing w:lineRule="auto" w:line="360"/>
        <w:ind w:end="0"/>
        <w:jc w:val="both"/>
        <w:rPr>
          <w:rFonts w:ascii="Arial" w:hAnsi="Arial" w:cs="Arial"/>
        </w:rPr>
      </w:pPr>
      <w:r>
        <w:rPr>
          <w:rFonts w:cs="Arial" w:ascii="Arial" w:hAnsi="Arial"/>
          <w:rtl w:val="true"/>
        </w:rPr>
      </w:r>
    </w:p>
    <w:tbl>
      <w:tblPr>
        <w:bidiVisual w:val="true"/>
        <w:tblW w:w="8720" w:type="dxa"/>
        <w:jc w:val="center"/>
        <w:tblInd w:w="0" w:type="dxa"/>
        <w:tblLayout w:type="fixed"/>
        <w:tblCellMar>
          <w:top w:w="0" w:type="dxa"/>
          <w:start w:w="108" w:type="dxa"/>
          <w:bottom w:w="0" w:type="dxa"/>
          <w:end w:w="108" w:type="dxa"/>
        </w:tblCellMar>
      </w:tblPr>
      <w:tblGrid>
        <w:gridCol w:w="623"/>
        <w:gridCol w:w="2699"/>
        <w:gridCol w:w="2699"/>
        <w:gridCol w:w="2699"/>
      </w:tblGrid>
      <w:tr>
        <w:trPr>
          <w:trHeight w:val="337" w:hRule="atLeast"/>
        </w:trPr>
        <w:tc>
          <w:tcPr>
            <w:tcW w:w="623" w:type="dxa"/>
            <w:tcBorders/>
          </w:tcPr>
          <w:p>
            <w:pPr>
              <w:pStyle w:val="Header"/>
              <w:bidi w:val="0"/>
              <w:snapToGrid w:val="false"/>
              <w:spacing w:lineRule="auto" w:line="360"/>
              <w:jc w:val="both"/>
              <w:rPr>
                <w:rFonts w:ascii="Times New Roman" w:hAnsi="Times New Roman" w:cs="Times New Roman"/>
              </w:rPr>
            </w:pPr>
            <w:r>
              <w:rPr>
                <w:rFonts w:cs="Times New Roman" w:ascii="Times New Roman" w:hAnsi="Times New Roman"/>
              </w:rPr>
            </w:r>
          </w:p>
        </w:tc>
        <w:tc>
          <w:tcPr>
            <w:tcW w:w="2699" w:type="dxa"/>
            <w:tcBorders/>
          </w:tcPr>
          <w:p>
            <w:pPr>
              <w:pStyle w:val="Header"/>
              <w:ind w:end="0"/>
              <w:jc w:val="end"/>
              <w:rPr>
                <w:b/>
                <w:bCs/>
                <w:sz w:val="26"/>
                <w:szCs w:val="26"/>
              </w:rPr>
            </w:pPr>
            <w:r>
              <w:rPr/>
              <w:t>6986/09</w:t>
            </w:r>
          </w:p>
        </w:tc>
        <w:tc>
          <w:tcPr>
            <w:tcW w:w="2699" w:type="dxa"/>
            <w:tcBorders/>
          </w:tcPr>
          <w:p>
            <w:pPr>
              <w:pStyle w:val="Header"/>
              <w:ind w:end="0"/>
              <w:jc w:val="end"/>
              <w:rPr>
                <w:b/>
                <w:bCs/>
                <w:sz w:val="26"/>
                <w:szCs w:val="26"/>
              </w:rPr>
            </w:pPr>
            <w:r>
              <w:rPr/>
              <w:t>9088/09</w:t>
            </w:r>
          </w:p>
        </w:tc>
        <w:tc>
          <w:tcPr>
            <w:tcW w:w="2699" w:type="dxa"/>
            <w:tcBorders/>
          </w:tcPr>
          <w:p>
            <w:pPr>
              <w:pStyle w:val="Header"/>
              <w:ind w:end="0"/>
              <w:jc w:val="end"/>
              <w:rPr>
                <w:b/>
                <w:bCs/>
                <w:sz w:val="26"/>
                <w:szCs w:val="26"/>
              </w:rPr>
            </w:pPr>
            <w:r>
              <w:rPr/>
              <w:t>3384/09</w:t>
            </w:r>
          </w:p>
        </w:tc>
      </w:tr>
    </w:tbl>
    <w:p>
      <w:pPr>
        <w:pStyle w:val="Normal"/>
        <w:spacing w:lineRule="auto" w:line="360"/>
        <w:ind w:end="0"/>
        <w:jc w:val="both"/>
        <w:rPr>
          <w:rFonts w:ascii="Arial" w:hAnsi="Arial" w:cs="Arial"/>
        </w:rPr>
      </w:pPr>
      <w:r>
        <w:rPr>
          <w:rFonts w:cs="Arial" w:ascii="Arial" w:hAnsi="Arial"/>
          <w:rtl w:val="true"/>
        </w:rPr>
      </w:r>
    </w:p>
    <w:tbl>
      <w:tblPr>
        <w:bidiVisual w:val="true"/>
        <w:tblW w:w="8802" w:type="dxa"/>
        <w:jc w:val="start"/>
        <w:tblInd w:w="-162" w:type="dxa"/>
        <w:tblLayout w:type="fixed"/>
        <w:tblCellMar>
          <w:top w:w="0" w:type="dxa"/>
          <w:start w:w="0" w:type="dxa"/>
          <w:bottom w:w="0" w:type="dxa"/>
          <w:end w:w="0" w:type="dxa"/>
        </w:tblCellMar>
      </w:tblPr>
      <w:tblGrid>
        <w:gridCol w:w="83"/>
        <w:gridCol w:w="2797"/>
        <w:gridCol w:w="5922"/>
      </w:tblGrid>
      <w:tr>
        <w:trPr/>
        <w:tc>
          <w:tcPr>
            <w:tcW w:w="83" w:type="dxa"/>
            <w:tcBorders/>
          </w:tcPr>
          <w:p>
            <w:pPr>
              <w:pStyle w:val="TableHeading"/>
              <w:rPr/>
            </w:pPr>
            <w:r>
              <w:rPr>
                <w:rtl w:val="true"/>
              </w:rPr>
            </w:r>
          </w:p>
        </w:tc>
        <w:tc>
          <w:tcPr>
            <w:tcW w:w="8719" w:type="dxa"/>
            <w:gridSpan w:val="2"/>
            <w:tcBorders/>
            <w:tcMar>
              <w:start w:w="108" w:type="dxa"/>
              <w:end w:w="108" w:type="dxa"/>
            </w:tcMar>
          </w:tcPr>
          <w:p>
            <w:pPr>
              <w:pStyle w:val="Normal"/>
              <w:spacing w:lineRule="auto" w:line="360"/>
              <w:ind w:end="0"/>
              <w:jc w:val="both"/>
              <w:rPr>
                <w:b/>
                <w:bCs/>
                <w:sz w:val="26"/>
                <w:szCs w:val="26"/>
              </w:rPr>
            </w:pPr>
            <w:r>
              <w:rPr>
                <w:b/>
                <w:b/>
                <w:bCs/>
                <w:sz w:val="26"/>
                <w:sz w:val="26"/>
                <w:szCs w:val="26"/>
                <w:rtl w:val="true"/>
              </w:rPr>
              <w:t>בפני כב</w:t>
            </w:r>
            <w:r>
              <w:rPr>
                <w:b/>
                <w:bCs/>
                <w:sz w:val="26"/>
                <w:szCs w:val="26"/>
                <w:rtl w:val="true"/>
              </w:rPr>
              <w:t xml:space="preserve">' </w:t>
            </w:r>
            <w:r>
              <w:rPr>
                <w:b/>
                <w:b/>
                <w:bCs/>
                <w:sz w:val="26"/>
                <w:sz w:val="26"/>
                <w:szCs w:val="26"/>
                <w:rtl w:val="true"/>
              </w:rPr>
              <w:t>ה</w:t>
            </w:r>
            <w:r>
              <w:rPr>
                <w:b/>
                <w:b/>
                <w:bCs/>
                <w:sz w:val="26"/>
                <w:sz w:val="26"/>
                <w:szCs w:val="26"/>
                <w:rtl w:val="true"/>
              </w:rPr>
              <w:t>שופט ג</w:t>
            </w:r>
            <w:r>
              <w:rPr>
                <w:b/>
                <w:bCs/>
                <w:sz w:val="26"/>
                <w:szCs w:val="26"/>
                <w:rtl w:val="true"/>
              </w:rPr>
              <w:t>'</w:t>
            </w:r>
            <w:r>
              <w:rPr>
                <w:b/>
                <w:b/>
                <w:bCs/>
                <w:sz w:val="26"/>
                <w:sz w:val="26"/>
                <w:szCs w:val="26"/>
                <w:rtl w:val="true"/>
              </w:rPr>
              <w:t>ורג אמוראי</w:t>
            </w:r>
            <w:r>
              <w:rPr>
                <w:rStyle w:val="TimesNewRomanTimesNewRoman"/>
                <w:rtl w:val="true"/>
              </w:rPr>
              <w:t xml:space="preserve"> </w:t>
            </w:r>
          </w:p>
        </w:tc>
      </w:tr>
      <w:tr>
        <w:trPr/>
        <w:tc>
          <w:tcPr>
            <w:tcW w:w="2880" w:type="dxa"/>
            <w:gridSpan w:val="2"/>
            <w:tcBorders/>
            <w:tcMar>
              <w:start w:w="108" w:type="dxa"/>
              <w:end w:w="108" w:type="dxa"/>
            </w:tcMar>
          </w:tcPr>
          <w:p>
            <w:pPr>
              <w:pStyle w:val="Normal"/>
              <w:ind w:start="26" w:end="0"/>
              <w:jc w:val="start"/>
              <w:rPr>
                <w:b/>
                <w:bCs/>
                <w:sz w:val="26"/>
                <w:szCs w:val="26"/>
              </w:rPr>
            </w:pPr>
            <w:bookmarkStart w:id="1" w:name="FirstAppellant"/>
            <w:bookmarkEnd w:id="1"/>
            <w:r>
              <w:rPr>
                <w:b/>
                <w:b/>
                <w:bCs/>
                <w:sz w:val="26"/>
                <w:sz w:val="26"/>
                <w:szCs w:val="26"/>
                <w:rtl w:val="true"/>
              </w:rPr>
              <w:t>ה</w:t>
            </w:r>
            <w:r>
              <w:rPr>
                <w:b/>
                <w:b/>
                <w:bCs/>
                <w:sz w:val="26"/>
                <w:sz w:val="26"/>
                <w:szCs w:val="26"/>
                <w:rtl w:val="true"/>
              </w:rPr>
              <w:t>מ</w:t>
            </w:r>
            <w:r>
              <w:rPr>
                <w:b/>
                <w:b/>
                <w:bCs/>
                <w:sz w:val="26"/>
                <w:sz w:val="26"/>
                <w:szCs w:val="26"/>
                <w:rtl w:val="true"/>
              </w:rPr>
              <w:t>אשימה</w:t>
            </w:r>
          </w:p>
        </w:tc>
        <w:tc>
          <w:tcPr>
            <w:tcW w:w="5922" w:type="dxa"/>
            <w:tcBorders/>
            <w:tcMar>
              <w:start w:w="108" w:type="dxa"/>
              <w:end w:w="108" w:type="dxa"/>
            </w:tcMar>
          </w:tcPr>
          <w:p>
            <w:pPr>
              <w:pStyle w:val="Normal"/>
              <w:ind w:end="0"/>
              <w:jc w:val="start"/>
              <w:rPr>
                <w:b/>
                <w:bCs/>
                <w:sz w:val="26"/>
                <w:szCs w:val="26"/>
              </w:rPr>
            </w:pPr>
            <w:r>
              <w:rPr>
                <w:b/>
                <w:b/>
                <w:bCs/>
                <w:sz w:val="26"/>
                <w:sz w:val="26"/>
                <w:szCs w:val="26"/>
                <w:rtl w:val="true"/>
              </w:rPr>
              <w:t>מ</w:t>
            </w:r>
            <w:r>
              <w:rPr>
                <w:b/>
                <w:bCs/>
                <w:sz w:val="26"/>
                <w:szCs w:val="26"/>
                <w:rtl w:val="true"/>
              </w:rPr>
              <w:t>.</w:t>
            </w:r>
            <w:r>
              <w:rPr>
                <w:b/>
                <w:b/>
                <w:bCs/>
                <w:sz w:val="26"/>
                <w:sz w:val="26"/>
                <w:szCs w:val="26"/>
                <w:rtl w:val="true"/>
              </w:rPr>
              <w:t>י</w:t>
            </w:r>
            <w:r>
              <w:rPr>
                <w:b/>
                <w:bCs/>
                <w:sz w:val="26"/>
                <w:szCs w:val="26"/>
                <w:rtl w:val="true"/>
              </w:rPr>
              <w:t xml:space="preserve">. </w:t>
            </w:r>
            <w:r>
              <w:rPr>
                <w:b/>
                <w:b/>
                <w:bCs/>
                <w:sz w:val="26"/>
                <w:sz w:val="26"/>
                <w:szCs w:val="26"/>
                <w:rtl w:val="true"/>
              </w:rPr>
              <w:t>פרקליטות מחוז דרום</w:t>
            </w:r>
            <w:r>
              <w:rPr>
                <w:b/>
                <w:bCs/>
                <w:sz w:val="26"/>
                <w:szCs w:val="26"/>
                <w:rtl w:val="true"/>
              </w:rPr>
              <w:t>-</w:t>
            </w:r>
            <w:r>
              <w:rPr>
                <w:b/>
                <w:b/>
                <w:bCs/>
                <w:sz w:val="26"/>
                <w:sz w:val="26"/>
                <w:szCs w:val="26"/>
                <w:rtl w:val="true"/>
              </w:rPr>
              <w:t>פלילי</w:t>
            </w:r>
          </w:p>
          <w:p>
            <w:pPr>
              <w:pStyle w:val="Normal"/>
              <w:ind w:end="0"/>
              <w:jc w:val="start"/>
              <w:rPr>
                <w:b/>
                <w:bCs/>
                <w:sz w:val="26"/>
                <w:szCs w:val="26"/>
              </w:rPr>
            </w:pPr>
            <w:r>
              <w:rPr>
                <w:b/>
                <w:b/>
                <w:bCs/>
                <w:sz w:val="26"/>
                <w:sz w:val="26"/>
                <w:szCs w:val="26"/>
                <w:rtl w:val="true"/>
              </w:rPr>
              <w:t>עו</w:t>
            </w:r>
            <w:r>
              <w:rPr>
                <w:b/>
                <w:bCs/>
                <w:sz w:val="26"/>
                <w:szCs w:val="26"/>
                <w:rtl w:val="true"/>
              </w:rPr>
              <w:t>"</w:t>
            </w:r>
            <w:r>
              <w:rPr>
                <w:b/>
                <w:b/>
                <w:bCs/>
                <w:sz w:val="26"/>
                <w:sz w:val="26"/>
                <w:szCs w:val="26"/>
                <w:rtl w:val="true"/>
              </w:rPr>
              <w:t>ד ג</w:t>
            </w:r>
            <w:r>
              <w:rPr>
                <w:b/>
                <w:bCs/>
                <w:sz w:val="26"/>
                <w:szCs w:val="26"/>
                <w:rtl w:val="true"/>
              </w:rPr>
              <w:t>'</w:t>
            </w:r>
            <w:r>
              <w:rPr>
                <w:b/>
                <w:b/>
                <w:bCs/>
                <w:sz w:val="26"/>
                <w:sz w:val="26"/>
                <w:szCs w:val="26"/>
                <w:rtl w:val="true"/>
              </w:rPr>
              <w:t xml:space="preserve">רר </w:t>
            </w:r>
          </w:p>
        </w:tc>
      </w:tr>
      <w:tr>
        <w:trPr/>
        <w:tc>
          <w:tcPr>
            <w:tcW w:w="8802" w:type="dxa"/>
            <w:gridSpan w:val="3"/>
            <w:tcBorders/>
            <w:tcMar>
              <w:start w:w="108" w:type="dxa"/>
              <w:end w:w="108" w:type="dxa"/>
            </w:tcMar>
          </w:tcPr>
          <w:p>
            <w:pPr>
              <w:pStyle w:val="Normal"/>
              <w:snapToGrid w:val="false"/>
              <w:ind w:end="0"/>
              <w:jc w:val="both"/>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center"/>
              <w:rPr>
                <w:rFonts w:ascii="Arial" w:hAnsi="Arial" w:cs="Arial"/>
                <w:b/>
                <w:bCs/>
                <w:sz w:val="26"/>
                <w:szCs w:val="26"/>
              </w:rPr>
            </w:pPr>
            <w:r>
              <w:rPr>
                <w:rFonts w:cs="Arial" w:ascii="Arial" w:hAnsi="Arial"/>
                <w:b/>
                <w:bCs/>
                <w:sz w:val="26"/>
                <w:szCs w:val="26"/>
                <w:rtl w:val="true"/>
              </w:rPr>
            </w:r>
          </w:p>
        </w:tc>
      </w:tr>
      <w:tr>
        <w:trPr/>
        <w:tc>
          <w:tcPr>
            <w:tcW w:w="2880" w:type="dxa"/>
            <w:gridSpan w:val="2"/>
            <w:tcBorders/>
            <w:tcMar>
              <w:start w:w="108" w:type="dxa"/>
              <w:end w:w="108" w:type="dxa"/>
            </w:tcMar>
          </w:tcPr>
          <w:p>
            <w:pPr>
              <w:pStyle w:val="Normal"/>
              <w:ind w:start="26" w:end="0"/>
              <w:jc w:val="start"/>
              <w:rPr>
                <w:b/>
                <w:bCs/>
                <w:sz w:val="26"/>
                <w:szCs w:val="26"/>
              </w:rPr>
            </w:pPr>
            <w:r>
              <w:rPr>
                <w:b/>
                <w:b/>
                <w:bCs/>
                <w:sz w:val="26"/>
                <w:sz w:val="26"/>
                <w:szCs w:val="26"/>
                <w:rtl w:val="true"/>
              </w:rPr>
              <w:t>הנאש</w:t>
            </w:r>
            <w:r>
              <w:rPr>
                <w:b/>
                <w:b/>
                <w:bCs/>
                <w:sz w:val="26"/>
                <w:sz w:val="26"/>
                <w:szCs w:val="26"/>
                <w:rtl w:val="true"/>
              </w:rPr>
              <w:t>ם</w:t>
            </w:r>
          </w:p>
        </w:tc>
        <w:tc>
          <w:tcPr>
            <w:tcW w:w="5922" w:type="dxa"/>
            <w:tcBorders/>
            <w:tcMar>
              <w:start w:w="108" w:type="dxa"/>
              <w:end w:w="108" w:type="dxa"/>
            </w:tcMar>
          </w:tcPr>
          <w:p>
            <w:pPr>
              <w:pStyle w:val="Normal"/>
              <w:ind w:end="0"/>
              <w:jc w:val="start"/>
              <w:rPr>
                <w:b/>
                <w:bCs/>
                <w:sz w:val="26"/>
                <w:szCs w:val="26"/>
              </w:rPr>
            </w:pPr>
            <w:r>
              <w:rPr>
                <w:b/>
                <w:b/>
                <w:bCs/>
                <w:sz w:val="26"/>
                <w:sz w:val="26"/>
                <w:szCs w:val="26"/>
                <w:rtl w:val="true"/>
              </w:rPr>
              <w:t>אקרם אבו עגאג</w:t>
            </w:r>
            <w:r>
              <w:rPr>
                <w:b/>
                <w:b/>
                <w:bCs/>
                <w:sz w:val="26"/>
                <w:sz w:val="26"/>
                <w:szCs w:val="26"/>
                <w:rtl w:val="true"/>
              </w:rPr>
              <w:t xml:space="preserve"> </w:t>
            </w:r>
            <w:r>
              <w:rPr>
                <w:b/>
                <w:b/>
                <w:bCs/>
                <w:sz w:val="26"/>
                <w:sz w:val="26"/>
                <w:szCs w:val="26"/>
                <w:rtl w:val="true"/>
              </w:rPr>
              <w:t>–</w:t>
            </w:r>
            <w:r>
              <w:rPr>
                <w:b/>
                <w:b/>
                <w:bCs/>
                <w:sz w:val="26"/>
                <w:sz w:val="26"/>
                <w:szCs w:val="26"/>
                <w:rtl w:val="true"/>
              </w:rPr>
              <w:t xml:space="preserve"> בעצמו </w:t>
            </w:r>
          </w:p>
          <w:p>
            <w:pPr>
              <w:pStyle w:val="Normal"/>
              <w:ind w:end="0"/>
              <w:jc w:val="start"/>
              <w:rPr>
                <w:b/>
                <w:bCs/>
                <w:sz w:val="26"/>
                <w:szCs w:val="26"/>
              </w:rPr>
            </w:pPr>
            <w:r>
              <w:rPr>
                <w:b/>
                <w:b/>
                <w:bCs/>
                <w:sz w:val="26"/>
                <w:sz w:val="26"/>
                <w:szCs w:val="26"/>
                <w:rtl w:val="true"/>
              </w:rPr>
              <w:t>עו</w:t>
            </w:r>
            <w:r>
              <w:rPr>
                <w:b/>
                <w:bCs/>
                <w:sz w:val="26"/>
                <w:szCs w:val="26"/>
                <w:rtl w:val="true"/>
              </w:rPr>
              <w:t>"</w:t>
            </w:r>
            <w:r>
              <w:rPr>
                <w:b/>
                <w:b/>
                <w:bCs/>
                <w:sz w:val="26"/>
                <w:sz w:val="26"/>
                <w:szCs w:val="26"/>
                <w:rtl w:val="true"/>
              </w:rPr>
              <w:t xml:space="preserve">ד כאמל אלזיאדנה </w:t>
            </w:r>
          </w:p>
        </w:tc>
      </w:tr>
    </w:tbl>
    <w:p>
      <w:pPr>
        <w:pStyle w:val="Normal"/>
        <w:spacing w:lineRule="auto" w:line="360"/>
        <w:ind w:end="0"/>
        <w:jc w:val="both"/>
        <w:rPr/>
      </w:pPr>
      <w:r>
        <w:rPr>
          <w:rtl w:val="true"/>
        </w:rPr>
      </w:r>
      <w:bookmarkStart w:id="2" w:name="LawTable"/>
      <w:bookmarkStart w:id="3" w:name="LawTable"/>
      <w:bookmarkEnd w:id="3"/>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color w:val="0000FF"/>
          <w:u w:val="single"/>
        </w:rPr>
      </w:pPr>
      <w:hyperlink r:id="rId2">
        <w:r>
          <w:rPr>
            <w:rStyle w:val="Hyperlink"/>
            <w:rFonts w:ascii="FrankRuehl" w:hAnsi="FrankRuehl" w:cs="FrankRuehl"/>
            <w:rtl w:val="true"/>
          </w:rPr>
          <w:t>חוק העונשין</w:t>
        </w:r>
        <w:r>
          <w:rPr>
            <w:rStyle w:val="Hyperlink"/>
            <w:rFonts w:cs="FrankRuehl" w:ascii="FrankRuehl" w:hAnsi="FrankRuehl"/>
            <w:rtl w:val="true"/>
          </w:rPr>
          <w:t xml:space="preserve">, </w:t>
        </w:r>
        <w:r>
          <w:rPr>
            <w:rStyle w:val="Hyperlink"/>
            <w:rFonts w:ascii="FrankRuehl" w:hAnsi="FrankRuehl" w:cs="FrankRuehl"/>
            <w:rtl w:val="true"/>
          </w:rPr>
          <w:t>תשל</w:t>
        </w:r>
        <w:r>
          <w:rPr>
            <w:rStyle w:val="Hyperlink"/>
            <w:rFonts w:cs="FrankRuehl" w:ascii="FrankRuehl" w:hAnsi="FrankRuehl"/>
            <w:rtl w:val="true"/>
          </w:rPr>
          <w:t>"</w:t>
        </w:r>
        <w:r>
          <w:rPr>
            <w:rStyle w:val="Hyperlink"/>
            <w:rFonts w:ascii="FrankRuehl" w:hAnsi="FrankRuehl" w:cs="FrankRuehl"/>
            <w:rtl w:val="true"/>
          </w:rPr>
          <w:t>ז</w:t>
        </w:r>
        <w:r>
          <w:rPr>
            <w:rStyle w:val="Hyperlink"/>
            <w:rFonts w:cs="FrankRuehl" w:ascii="FrankRuehl" w:hAnsi="FrankRuehl"/>
            <w:rtl w:val="true"/>
          </w:rPr>
          <w:t>-</w:t>
        </w:r>
        <w:r>
          <w:rPr>
            <w:rStyle w:val="Hyperlink"/>
            <w:rFonts w:cs="FrankRuehl" w:ascii="FrankRuehl" w:hAnsi="FrankRuehl"/>
          </w:rPr>
          <w:t>1977</w:t>
        </w:r>
      </w:hyperlink>
    </w:p>
    <w:p>
      <w:pPr>
        <w:pStyle w:val="Normal"/>
        <w:spacing w:lineRule="exact" w:line="240" w:before="0" w:after="120"/>
        <w:ind w:hanging="283" w:start="283" w:end="0"/>
        <w:jc w:val="both"/>
        <w:rPr>
          <w:rFonts w:ascii="FrankRuehl" w:hAnsi="FrankRuehl" w:cs="FrankRuehl"/>
          <w:color w:val="0000FF"/>
          <w:u w:val="single"/>
        </w:rPr>
      </w:pPr>
      <w:r>
        <w:rPr>
          <w:rFonts w:cs="FrankRuehl" w:ascii="FrankRuehl" w:hAnsi="FrankRuehl"/>
          <w:color w:val="0000FF"/>
          <w:u w:val="single"/>
          <w:rtl w:val="true"/>
        </w:rPr>
      </w:r>
    </w:p>
    <w:p>
      <w:pPr>
        <w:pStyle w:val="Normal"/>
        <w:spacing w:lineRule="auto" w:line="360"/>
        <w:ind w:end="0"/>
        <w:jc w:val="both"/>
        <w:rPr>
          <w:rFonts w:ascii="FrankRuehl" w:hAnsi="FrankRuehl" w:cs="FrankRuehl"/>
        </w:rPr>
      </w:pPr>
      <w:r>
        <w:rPr>
          <w:rFonts w:cs="FrankRuehl" w:ascii="FrankRuehl" w:hAnsi="FrankRuehl"/>
          <w:rtl w:val="true"/>
        </w:rPr>
      </w:r>
      <w:bookmarkStart w:id="4" w:name="LawTable_End"/>
      <w:bookmarkStart w:id="5" w:name="LawTable_End"/>
      <w:bookmarkEnd w:id="5"/>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center"/>
        <w:rPr>
          <w:rFonts w:ascii="Arial" w:hAnsi="Arial" w:cs="Arial"/>
          <w:b/>
          <w:bCs/>
          <w:sz w:val="28"/>
          <w:szCs w:val="28"/>
          <w:u w:val="single"/>
        </w:rPr>
      </w:pPr>
      <w:bookmarkStart w:id="6" w:name="PsakDin"/>
      <w:bookmarkEnd w:id="6"/>
      <w:r>
        <w:rPr>
          <w:rFonts w:ascii="Arial" w:hAnsi="Arial" w:cs="Arial"/>
          <w:b/>
          <w:b/>
          <w:bCs/>
          <w:sz w:val="28"/>
          <w:sz w:val="28"/>
          <w:szCs w:val="28"/>
          <w:u w:val="single"/>
          <w:rtl w:val="true"/>
        </w:rPr>
        <w:t>גזר דין</w:t>
      </w:r>
    </w:p>
    <w:p>
      <w:pPr>
        <w:pStyle w:val="Normal"/>
        <w:spacing w:lineRule="auto" w:line="360"/>
        <w:ind w:end="0"/>
        <w:jc w:val="start"/>
        <w:rPr>
          <w:rFonts w:ascii="Arial" w:hAnsi="Arial" w:cs="Arial"/>
          <w:b/>
          <w:bCs/>
          <w:sz w:val="28"/>
          <w:szCs w:val="28"/>
          <w:u w:val="single"/>
        </w:rPr>
      </w:pPr>
      <w:r>
        <w:rPr>
          <w:rFonts w:cs="Arial" w:ascii="Arial" w:hAnsi="Arial"/>
          <w:b/>
          <w:bCs/>
          <w:sz w:val="28"/>
          <w:szCs w:val="28"/>
          <w:u w:val="single"/>
          <w:rtl w:val="true"/>
        </w:rPr>
      </w:r>
      <w:bookmarkStart w:id="7" w:name="PsakDin"/>
      <w:bookmarkStart w:id="8" w:name="PsakDin"/>
      <w:bookmarkEnd w:id="8"/>
    </w:p>
    <w:p>
      <w:pPr>
        <w:pStyle w:val="Normal"/>
        <w:spacing w:lineRule="auto" w:line="360"/>
        <w:ind w:end="0"/>
        <w:jc w:val="start"/>
        <w:rPr/>
      </w:pPr>
      <w:bookmarkStart w:id="9" w:name="ABSTRACT_START"/>
      <w:bookmarkEnd w:id="9"/>
      <w:r>
        <w:rPr>
          <w:rtl w:val="true"/>
        </w:rPr>
        <w:t>הנאשם הורשע עפ</w:t>
      </w:r>
      <w:r>
        <w:rPr>
          <w:rtl w:val="true"/>
        </w:rPr>
        <w:t>"</w:t>
      </w:r>
      <w:r>
        <w:rPr>
          <w:rtl w:val="true"/>
        </w:rPr>
        <w:t>י הודאתו</w:t>
      </w:r>
      <w:r>
        <w:rPr>
          <w:rtl w:val="true"/>
        </w:rPr>
        <w:t xml:space="preserve">, </w:t>
      </w:r>
      <w:r>
        <w:rPr>
          <w:rtl w:val="true"/>
        </w:rPr>
        <w:t>במסגרת הסדר טיעון</w:t>
      </w:r>
      <w:r>
        <w:rPr>
          <w:rtl w:val="true"/>
        </w:rPr>
        <w:t xml:space="preserve">, </w:t>
      </w:r>
      <w:r>
        <w:rPr>
          <w:rtl w:val="true"/>
        </w:rPr>
        <w:t xml:space="preserve">בעובדות כתב אישום מתוקן בביצוע  עבירות בנשק </w:t>
      </w:r>
      <w:r>
        <w:rPr>
          <w:rtl w:val="true"/>
        </w:rPr>
        <w:t>{</w:t>
      </w:r>
      <w:r>
        <w:rPr>
          <w:rtl w:val="true"/>
        </w:rPr>
        <w:t>ס</w:t>
      </w:r>
      <w:r>
        <w:rPr>
          <w:rtl w:val="true"/>
        </w:rPr>
        <w:t xml:space="preserve">' </w:t>
      </w:r>
      <w:r>
        <w:rPr/>
        <w:t>144</w:t>
      </w:r>
      <w:r>
        <w:rPr>
          <w:rtl w:val="true"/>
        </w:rPr>
        <w:t xml:space="preserve"> (</w:t>
      </w:r>
      <w:r>
        <w:rPr>
          <w:rtl w:val="true"/>
        </w:rPr>
        <w:t>א</w:t>
      </w:r>
      <w:r>
        <w:rPr>
          <w:rtl w:val="true"/>
        </w:rPr>
        <w:t xml:space="preserve">) </w:t>
      </w:r>
      <w:r>
        <w:rPr>
          <w:rtl w:val="true"/>
        </w:rPr>
        <w:t>רישא ו</w:t>
      </w:r>
      <w:r>
        <w:rPr>
          <w:rtl w:val="true"/>
        </w:rPr>
        <w:t xml:space="preserve">- </w:t>
      </w:r>
      <w:r>
        <w:rPr/>
        <w:t>144</w:t>
      </w:r>
      <w:r>
        <w:rPr>
          <w:rtl w:val="true"/>
        </w:rPr>
        <w:t xml:space="preserve"> (</w:t>
      </w:r>
      <w:r>
        <w:rPr>
          <w:rtl w:val="true"/>
        </w:rPr>
        <w:t>א</w:t>
      </w:r>
      <w:r>
        <w:rPr>
          <w:rtl w:val="true"/>
        </w:rPr>
        <w:t xml:space="preserve">) </w:t>
      </w:r>
      <w:r>
        <w:rPr>
          <w:rtl w:val="true"/>
        </w:rPr>
        <w:t>סייפא ל</w:t>
      </w:r>
      <w:hyperlink r:id="rId3">
        <w:r>
          <w:rPr>
            <w:rStyle w:val="Hyperlink"/>
            <w:rtl w:val="true"/>
          </w:rPr>
          <w:t>חוק העונשין</w:t>
        </w:r>
      </w:hyperlink>
      <w:r>
        <w:rPr>
          <w:rtl w:val="true"/>
        </w:rPr>
        <w:t xml:space="preserve">} </w:t>
      </w:r>
      <w:r>
        <w:rPr>
          <w:rtl w:val="true"/>
        </w:rPr>
        <w:t xml:space="preserve">בכך שבתאריך </w:t>
      </w:r>
      <w:r>
        <w:rPr/>
        <w:t>27/07/09</w:t>
      </w:r>
      <w:r>
        <w:rPr>
          <w:rtl w:val="true"/>
        </w:rPr>
        <w:t xml:space="preserve"> </w:t>
      </w:r>
      <w:r>
        <w:rPr>
          <w:rtl w:val="true"/>
        </w:rPr>
        <w:t>בביתו</w:t>
      </w:r>
      <w:r>
        <w:rPr>
          <w:rtl w:val="true"/>
        </w:rPr>
        <w:t xml:space="preserve">, </w:t>
      </w:r>
      <w:r>
        <w:rPr>
          <w:rtl w:val="true"/>
        </w:rPr>
        <w:t xml:space="preserve">החזיק הנאשם אקדח </w:t>
      </w:r>
      <w:r>
        <w:rPr/>
        <w:t>F.N</w:t>
      </w:r>
      <w:r>
        <w:rPr>
          <w:rtl w:val="true"/>
        </w:rPr>
        <w:t xml:space="preserve"> </w:t>
      </w:r>
      <w:r>
        <w:rPr>
          <w:rtl w:val="true"/>
        </w:rPr>
        <w:t xml:space="preserve">ומאה עשרים ושבע כדורי אקדח </w:t>
      </w:r>
      <w:r>
        <w:rPr/>
        <w:t>9</w:t>
      </w:r>
      <w:r>
        <w:rPr>
          <w:rtl w:val="true"/>
        </w:rPr>
        <w:t xml:space="preserve"> </w:t>
      </w:r>
      <w:r>
        <w:rPr>
          <w:rtl w:val="true"/>
        </w:rPr>
        <w:t>מ</w:t>
      </w:r>
      <w:r>
        <w:rPr>
          <w:rtl w:val="true"/>
        </w:rPr>
        <w:t>"</w:t>
      </w:r>
      <w:r>
        <w:rPr>
          <w:rtl w:val="true"/>
        </w:rPr>
        <w:t>מ</w:t>
      </w:r>
      <w:r>
        <w:rPr>
          <w:rtl w:val="true"/>
        </w:rPr>
        <w:t xml:space="preserve">, </w:t>
      </w:r>
      <w:r>
        <w:rPr>
          <w:rtl w:val="true"/>
        </w:rPr>
        <w:t>כשהאקדח והכדורים היו מוסתרים מתחת לארון בחדר השינה</w:t>
      </w:r>
      <w:r>
        <w:rPr>
          <w:rtl w:val="true"/>
        </w:rPr>
        <w:t>.</w:t>
      </w:r>
    </w:p>
    <w:p>
      <w:pPr>
        <w:pStyle w:val="Normal"/>
        <w:spacing w:lineRule="auto" w:line="360"/>
        <w:ind w:end="0"/>
        <w:jc w:val="start"/>
        <w:rPr/>
      </w:pPr>
      <w:r>
        <w:rPr>
          <w:rtl w:val="true"/>
        </w:rPr>
      </w:r>
      <w:bookmarkStart w:id="10" w:name="ABSTRACT_END"/>
      <w:bookmarkStart w:id="11" w:name="ABSTRACT_END"/>
      <w:bookmarkEnd w:id="11"/>
    </w:p>
    <w:p>
      <w:pPr>
        <w:pStyle w:val="Normal"/>
        <w:spacing w:lineRule="auto" w:line="360"/>
        <w:ind w:end="0"/>
        <w:jc w:val="start"/>
        <w:rPr/>
      </w:pPr>
      <w:r>
        <w:rPr>
          <w:rtl w:val="true"/>
        </w:rPr>
        <w:t>הסדר הטיעון כלל תיקון כתב האישום</w:t>
      </w:r>
      <w:r>
        <w:rPr>
          <w:rtl w:val="true"/>
        </w:rPr>
        <w:t xml:space="preserve">, </w:t>
      </w:r>
      <w:r>
        <w:rPr>
          <w:rtl w:val="true"/>
        </w:rPr>
        <w:t>חזרת הנאשם מכפירתו</w:t>
      </w:r>
      <w:r>
        <w:rPr>
          <w:rtl w:val="true"/>
        </w:rPr>
        <w:t xml:space="preserve">, </w:t>
      </w:r>
      <w:r>
        <w:rPr>
          <w:rtl w:val="true"/>
        </w:rPr>
        <w:t>הודאתו</w:t>
      </w:r>
      <w:r>
        <w:rPr>
          <w:rtl w:val="true"/>
        </w:rPr>
        <w:t xml:space="preserve">, </w:t>
      </w:r>
      <w:r>
        <w:rPr>
          <w:rtl w:val="true"/>
        </w:rPr>
        <w:t>הרשעתו ושליחתו לקבלת תסקיר שירות מבחן</w:t>
      </w:r>
      <w:r>
        <w:rPr>
          <w:rtl w:val="true"/>
        </w:rPr>
        <w:t xml:space="preserve">. </w:t>
      </w:r>
      <w:r>
        <w:rPr>
          <w:rtl w:val="true"/>
        </w:rPr>
        <w:t xml:space="preserve">לעניין העונש תגביל המאשימה את טיעוניה למאסר למשך </w:t>
      </w:r>
      <w:r>
        <w:rPr/>
        <w:t>6</w:t>
      </w:r>
      <w:r>
        <w:rPr>
          <w:rtl w:val="true"/>
        </w:rPr>
        <w:t xml:space="preserve"> </w:t>
      </w:r>
      <w:r>
        <w:rPr>
          <w:rtl w:val="true"/>
        </w:rPr>
        <w:t>חודשים שירוצו בעבודות שירות והסנגור יטען באופן חופשי  וכן מאסר על תנאי לשיקול דעת בית המשפט</w:t>
      </w:r>
      <w:r>
        <w:rPr>
          <w:rtl w:val="true"/>
        </w:rPr>
        <w:t>.</w:t>
      </w:r>
    </w:p>
    <w:p>
      <w:pPr>
        <w:pStyle w:val="Normal"/>
        <w:spacing w:lineRule="auto" w:line="360"/>
        <w:ind w:end="0"/>
        <w:jc w:val="start"/>
        <w:rPr/>
      </w:pPr>
      <w:r>
        <w:rPr>
          <w:rtl w:val="true"/>
        </w:rPr>
      </w:r>
    </w:p>
    <w:p>
      <w:pPr>
        <w:pStyle w:val="Normal"/>
        <w:spacing w:lineRule="auto" w:line="360"/>
        <w:ind w:end="0"/>
        <w:jc w:val="start"/>
        <w:rPr/>
      </w:pPr>
      <w:r>
        <w:rPr>
          <w:rtl w:val="true"/>
        </w:rPr>
        <w:t>שירות המבחן המליץ על ענישה משמעותית ומרתיעה בדמות מאסר בדרך של עבודות שירות ומאסר על תנאי</w:t>
      </w:r>
      <w:r>
        <w:rPr>
          <w:rtl w:val="true"/>
        </w:rPr>
        <w:t xml:space="preserve">. </w:t>
      </w:r>
      <w:r>
        <w:rPr>
          <w:rtl w:val="true"/>
        </w:rPr>
        <w:t>כפי העולה מהתסקיר הנאשם רווק</w:t>
      </w:r>
      <w:r>
        <w:rPr>
          <w:rtl w:val="true"/>
        </w:rPr>
        <w:t xml:space="preserve">, </w:t>
      </w:r>
      <w:r>
        <w:rPr>
          <w:rtl w:val="true"/>
        </w:rPr>
        <w:t xml:space="preserve">בן </w:t>
      </w:r>
      <w:r>
        <w:rPr/>
        <w:t>22</w:t>
      </w:r>
      <w:r>
        <w:rPr>
          <w:rtl w:val="true"/>
        </w:rPr>
        <w:t xml:space="preserve">, </w:t>
      </w:r>
      <w:r>
        <w:rPr>
          <w:rtl w:val="true"/>
        </w:rPr>
        <w:t>מתגורר עם הוריו ואחיו</w:t>
      </w:r>
      <w:r>
        <w:rPr>
          <w:rtl w:val="true"/>
        </w:rPr>
        <w:t xml:space="preserve">, </w:t>
      </w:r>
      <w:r>
        <w:rPr>
          <w:rtl w:val="true"/>
        </w:rPr>
        <w:t>נעדר עבר פלילי</w:t>
      </w:r>
      <w:r>
        <w:rPr>
          <w:rtl w:val="true"/>
        </w:rPr>
        <w:t xml:space="preserve">. </w:t>
      </w:r>
      <w:r>
        <w:rPr>
          <w:rtl w:val="true"/>
        </w:rPr>
        <w:t>שירות המבחן התרשם כי הנאשם חווה באופן קשה את חווית המעצר לראשונה בחייו ואת עצם היותו מעורב בהליך פלילי</w:t>
      </w:r>
      <w:r>
        <w:rPr>
          <w:rtl w:val="true"/>
        </w:rPr>
        <w:t xml:space="preserve">. </w:t>
      </w:r>
      <w:r>
        <w:rPr>
          <w:rtl w:val="true"/>
        </w:rPr>
        <w:t>כן התרשם שירות המבחן ממשפחה נורמטיבית</w:t>
      </w:r>
      <w:r>
        <w:rPr>
          <w:rtl w:val="true"/>
        </w:rPr>
        <w:t xml:space="preserve">, </w:t>
      </w:r>
      <w:r>
        <w:rPr>
          <w:rtl w:val="true"/>
        </w:rPr>
        <w:t>תומכת וזמינה לפיקוח וכן מקשייו הרגשיים של הנאשם להיפתח מול שירות המבחן</w:t>
      </w:r>
      <w:r>
        <w:rPr>
          <w:rtl w:val="true"/>
        </w:rPr>
        <w:t xml:space="preserve">. </w:t>
      </w:r>
      <w:r>
        <w:rPr>
          <w:rtl w:val="true"/>
        </w:rPr>
        <w:t>ביחס לעבירה הודה הנאשם וציין כי המדובר בירושה שקיבל מסבו עליה שמר כמזכרת וכי המדובר בנשק ישן שלא ניתן להשתמש בו</w:t>
      </w:r>
      <w:r>
        <w:rPr>
          <w:rtl w:val="true"/>
        </w:rPr>
        <w:t>.</w:t>
      </w:r>
    </w:p>
    <w:p>
      <w:pPr>
        <w:pStyle w:val="Normal"/>
        <w:spacing w:lineRule="auto" w:line="360"/>
        <w:ind w:end="0"/>
        <w:jc w:val="start"/>
        <w:rPr/>
      </w:pPr>
      <w:r>
        <w:rPr>
          <w:rtl w:val="true"/>
        </w:rPr>
      </w:r>
    </w:p>
    <w:p>
      <w:pPr>
        <w:pStyle w:val="Normal"/>
        <w:spacing w:lineRule="auto" w:line="360"/>
        <w:ind w:end="0"/>
        <w:jc w:val="start"/>
        <w:rPr/>
      </w:pPr>
      <w:r>
        <w:rPr>
          <w:rtl w:val="true"/>
        </w:rPr>
        <w:t>חוות דעת הממונה על עבודות השירות בשב</w:t>
      </w:r>
      <w:r>
        <w:rPr>
          <w:rtl w:val="true"/>
        </w:rPr>
        <w:t>"</w:t>
      </w:r>
      <w:r>
        <w:rPr>
          <w:rtl w:val="true"/>
        </w:rPr>
        <w:t>ס מצאה את הנאשם כשיר לביצוע מאסר במסגרת עבודות השירות</w:t>
      </w:r>
      <w:r>
        <w:rPr>
          <w:rtl w:val="true"/>
        </w:rPr>
        <w:t xml:space="preserve">. </w:t>
      </w:r>
      <w:r>
        <w:rPr>
          <w:rtl w:val="true"/>
        </w:rPr>
        <w:t>מועד אפשרי לתחילת ריצוי העונש</w:t>
      </w:r>
      <w:r>
        <w:rPr>
          <w:rtl w:val="true"/>
        </w:rPr>
        <w:t xml:space="preserve">- </w:t>
      </w:r>
      <w:r>
        <w:rPr/>
        <w:t>27/04/11</w:t>
      </w:r>
      <w:r>
        <w:rPr>
          <w:rtl w:val="true"/>
        </w:rPr>
        <w:t>.</w:t>
      </w:r>
    </w:p>
    <w:p>
      <w:pPr>
        <w:pStyle w:val="Normal"/>
        <w:spacing w:lineRule="auto" w:line="360"/>
        <w:ind w:end="0"/>
        <w:jc w:val="start"/>
        <w:rPr/>
      </w:pPr>
      <w:r>
        <w:rPr>
          <w:rtl w:val="true"/>
        </w:rPr>
      </w:r>
    </w:p>
    <w:p>
      <w:pPr>
        <w:pStyle w:val="Normal"/>
        <w:spacing w:lineRule="auto" w:line="360"/>
        <w:ind w:end="0"/>
        <w:jc w:val="start"/>
        <w:rPr/>
      </w:pPr>
      <w:r>
        <w:rPr>
          <w:rtl w:val="true"/>
        </w:rPr>
        <w:t>במסגרת הטיעונים לעונש</w:t>
      </w:r>
      <w:r>
        <w:rPr>
          <w:rtl w:val="true"/>
        </w:rPr>
        <w:t xml:space="preserve">, </w:t>
      </w:r>
      <w:r>
        <w:rPr>
          <w:rtl w:val="true"/>
        </w:rPr>
        <w:t>עתר ב</w:t>
      </w:r>
      <w:r>
        <w:rPr>
          <w:rtl w:val="true"/>
        </w:rPr>
        <w:t>"</w:t>
      </w:r>
      <w:r>
        <w:rPr>
          <w:rtl w:val="true"/>
        </w:rPr>
        <w:t>כ המאשימה להשית על הנאשם את הרף העליון של ההסדר</w:t>
      </w:r>
      <w:r>
        <w:rPr>
          <w:rtl w:val="true"/>
        </w:rPr>
        <w:t xml:space="preserve">- </w:t>
      </w:r>
      <w:r>
        <w:rPr/>
        <w:t>6</w:t>
      </w:r>
      <w:r>
        <w:rPr>
          <w:rtl w:val="true"/>
        </w:rPr>
        <w:t xml:space="preserve"> </w:t>
      </w:r>
      <w:r>
        <w:rPr>
          <w:rtl w:val="true"/>
        </w:rPr>
        <w:t>חודשי מאסר בדרך של עבודות שירות</w:t>
      </w:r>
      <w:r>
        <w:rPr>
          <w:rtl w:val="true"/>
        </w:rPr>
        <w:t xml:space="preserve">, </w:t>
      </w:r>
      <w:r>
        <w:rPr>
          <w:rtl w:val="true"/>
        </w:rPr>
        <w:t>וכן מאסר על תנאי בגין עבירות נשק וזאת לנוכח אופיין של העבירות</w:t>
      </w:r>
      <w:r>
        <w:rPr>
          <w:rtl w:val="true"/>
        </w:rPr>
        <w:t xml:space="preserve">, </w:t>
      </w:r>
      <w:r>
        <w:rPr>
          <w:rtl w:val="true"/>
        </w:rPr>
        <w:t>מדיניות הענישה</w:t>
      </w:r>
      <w:r>
        <w:rPr>
          <w:rtl w:val="true"/>
        </w:rPr>
        <w:t xml:space="preserve">. </w:t>
      </w:r>
      <w:r>
        <w:rPr>
          <w:rtl w:val="true"/>
        </w:rPr>
        <w:t>בטיעוניו הפנה לעובדות כתב האישום המתוקן</w:t>
      </w:r>
      <w:r>
        <w:rPr>
          <w:rtl w:val="true"/>
        </w:rPr>
        <w:t xml:space="preserve">, </w:t>
      </w:r>
      <w:r>
        <w:rPr>
          <w:rtl w:val="true"/>
        </w:rPr>
        <w:t>חומרת העבירות</w:t>
      </w:r>
      <w:r>
        <w:rPr>
          <w:rtl w:val="true"/>
        </w:rPr>
        <w:t xml:space="preserve">, </w:t>
      </w:r>
      <w:r>
        <w:rPr>
          <w:rtl w:val="true"/>
        </w:rPr>
        <w:t>נסיבות ביצוען</w:t>
      </w:r>
      <w:r>
        <w:rPr>
          <w:rtl w:val="true"/>
        </w:rPr>
        <w:t xml:space="preserve">, </w:t>
      </w:r>
      <w:r>
        <w:rPr>
          <w:rtl w:val="true"/>
        </w:rPr>
        <w:t>הפוטנציאל שבהחזקת הנשק והכדורים</w:t>
      </w:r>
      <w:r>
        <w:rPr>
          <w:rtl w:val="true"/>
        </w:rPr>
        <w:t xml:space="preserve">, </w:t>
      </w:r>
      <w:r>
        <w:rPr>
          <w:rtl w:val="true"/>
        </w:rPr>
        <w:t>כמות הכדורים שנתפסה ולנטילת האחריות החלקית בפני שירות המבחן</w:t>
      </w:r>
      <w:r>
        <w:rPr>
          <w:rtl w:val="true"/>
        </w:rPr>
        <w:t xml:space="preserve">. </w:t>
      </w:r>
      <w:r>
        <w:rPr>
          <w:rtl w:val="true"/>
        </w:rPr>
        <w:t>בתמיכה לעמדתו העונשית הגיש והפנה לפסיקה</w:t>
      </w:r>
      <w:r>
        <w:rPr>
          <w:rtl w:val="true"/>
        </w:rPr>
        <w:t>.</w:t>
      </w:r>
    </w:p>
    <w:p>
      <w:pPr>
        <w:pStyle w:val="Normal"/>
        <w:spacing w:lineRule="auto" w:line="360"/>
        <w:ind w:end="0"/>
        <w:jc w:val="start"/>
        <w:rPr/>
      </w:pPr>
      <w:r>
        <w:rPr>
          <w:rtl w:val="true"/>
        </w:rPr>
      </w:r>
    </w:p>
    <w:p>
      <w:pPr>
        <w:pStyle w:val="Normal"/>
        <w:spacing w:lineRule="auto" w:line="360"/>
        <w:ind w:end="0"/>
        <w:jc w:val="start"/>
        <w:rPr/>
      </w:pPr>
      <w:r>
        <w:rPr>
          <w:rtl w:val="true"/>
        </w:rPr>
        <w:t>מנגד</w:t>
      </w:r>
      <w:r>
        <w:rPr>
          <w:rtl w:val="true"/>
        </w:rPr>
        <w:t xml:space="preserve">, </w:t>
      </w:r>
      <w:r>
        <w:rPr>
          <w:rtl w:val="true"/>
        </w:rPr>
        <w:t>ב</w:t>
      </w:r>
      <w:r>
        <w:rPr>
          <w:rtl w:val="true"/>
        </w:rPr>
        <w:t>"</w:t>
      </w:r>
      <w:r>
        <w:rPr>
          <w:rtl w:val="true"/>
        </w:rPr>
        <w:t>כ הנאשם עתר שלא למצות עם הנאשם את הדין וביקש להתחשב בנטילת האחריות</w:t>
      </w:r>
      <w:r>
        <w:rPr>
          <w:rtl w:val="true"/>
        </w:rPr>
        <w:t xml:space="preserve">, </w:t>
      </w:r>
      <w:r>
        <w:rPr>
          <w:rtl w:val="true"/>
        </w:rPr>
        <w:t>בהודאתו</w:t>
      </w:r>
      <w:r>
        <w:rPr>
          <w:rtl w:val="true"/>
        </w:rPr>
        <w:t xml:space="preserve">, </w:t>
      </w:r>
      <w:r>
        <w:rPr>
          <w:rtl w:val="true"/>
        </w:rPr>
        <w:t>בחלוף הזמן</w:t>
      </w:r>
      <w:r>
        <w:rPr>
          <w:rtl w:val="true"/>
        </w:rPr>
        <w:t xml:space="preserve">, </w:t>
      </w:r>
      <w:r>
        <w:rPr>
          <w:rtl w:val="true"/>
        </w:rPr>
        <w:t>בגילו הצעיר</w:t>
      </w:r>
      <w:r>
        <w:rPr>
          <w:rtl w:val="true"/>
        </w:rPr>
        <w:t xml:space="preserve">, </w:t>
      </w:r>
      <w:r>
        <w:rPr>
          <w:rtl w:val="true"/>
        </w:rPr>
        <w:t>בהעדר הסתבכויות נוספות ובהעדר עבר פלילי לחובתו</w:t>
      </w:r>
      <w:r>
        <w:rPr>
          <w:rtl w:val="true"/>
        </w:rPr>
        <w:t xml:space="preserve">. </w:t>
      </w:r>
      <w:r>
        <w:rPr>
          <w:rtl w:val="true"/>
        </w:rPr>
        <w:t>בתמיכה לעמדתו העונשית הגיש והפנה לפסיקה וכן ביקש לאבחן את הפסיקה שהגישה המאשימה</w:t>
      </w:r>
      <w:r>
        <w:rPr>
          <w:rtl w:val="true"/>
        </w:rPr>
        <w:t>.</w:t>
      </w:r>
    </w:p>
    <w:p>
      <w:pPr>
        <w:pStyle w:val="Normal"/>
        <w:spacing w:lineRule="auto" w:line="360"/>
        <w:ind w:end="0"/>
        <w:jc w:val="start"/>
        <w:rPr>
          <w:b/>
          <w:bCs/>
          <w:u w:val="single"/>
        </w:rPr>
      </w:pPr>
      <w:r>
        <w:rPr>
          <w:b/>
          <w:bCs/>
          <w:u w:val="single"/>
          <w:rtl w:val="true"/>
        </w:rPr>
      </w:r>
    </w:p>
    <w:p>
      <w:pPr>
        <w:pStyle w:val="Normal"/>
        <w:spacing w:lineRule="auto" w:line="360"/>
        <w:ind w:end="0"/>
        <w:jc w:val="start"/>
        <w:rPr>
          <w:b/>
          <w:bCs/>
          <w:u w:val="single"/>
        </w:rPr>
      </w:pPr>
      <w:r>
        <w:rPr>
          <w:b/>
          <w:b/>
          <w:bCs/>
          <w:u w:val="single"/>
          <w:rtl w:val="true"/>
        </w:rPr>
        <w:t>דיון</w:t>
      </w:r>
      <w:r>
        <w:rPr>
          <w:b/>
          <w:bCs/>
          <w:u w:val="single"/>
          <w:rtl w:val="true"/>
        </w:rPr>
        <w:t>:</w:t>
      </w:r>
    </w:p>
    <w:p>
      <w:pPr>
        <w:pStyle w:val="Normal"/>
        <w:spacing w:lineRule="auto" w:line="360"/>
        <w:ind w:end="0"/>
        <w:jc w:val="start"/>
        <w:rPr/>
      </w:pPr>
      <w:r>
        <w:rPr>
          <w:rtl w:val="true"/>
        </w:rPr>
        <w:t>הנאשם הורשע בעבירה חמורה בעלת פוטנציאל לפגיעה בגוף ובנפש ופוטנציאל להגברת והסלמת סכסוכים על רקע פלילי</w:t>
      </w:r>
      <w:r>
        <w:rPr>
          <w:rtl w:val="true"/>
        </w:rPr>
        <w:t>.</w:t>
      </w:r>
    </w:p>
    <w:p>
      <w:pPr>
        <w:pStyle w:val="Normal"/>
        <w:spacing w:lineRule="auto" w:line="360"/>
        <w:ind w:end="0"/>
        <w:jc w:val="start"/>
        <w:rPr/>
      </w:pPr>
      <w:r>
        <w:rPr>
          <w:rtl w:val="true"/>
        </w:rPr>
        <w:t xml:space="preserve"> </w:t>
      </w:r>
    </w:p>
    <w:p>
      <w:pPr>
        <w:pStyle w:val="Normal"/>
        <w:spacing w:lineRule="auto" w:line="360"/>
        <w:ind w:end="0"/>
        <w:jc w:val="start"/>
        <w:rPr/>
      </w:pPr>
      <w:r>
        <w:rPr>
          <w:rtl w:val="true"/>
        </w:rPr>
        <w:t>בית המשפט העליון</w:t>
      </w:r>
      <w:r>
        <w:rPr>
          <w:rtl w:val="true"/>
        </w:rPr>
        <w:t xml:space="preserve">, </w:t>
      </w:r>
      <w:r>
        <w:rPr>
          <w:rtl w:val="true"/>
        </w:rPr>
        <w:t>כב</w:t>
      </w:r>
      <w:r>
        <w:rPr>
          <w:rtl w:val="true"/>
        </w:rPr>
        <w:t xml:space="preserve">' </w:t>
      </w:r>
      <w:r>
        <w:rPr>
          <w:rtl w:val="true"/>
        </w:rPr>
        <w:t>השופט סלים ג</w:t>
      </w:r>
      <w:r>
        <w:rPr>
          <w:rtl w:val="true"/>
        </w:rPr>
        <w:t>'</w:t>
      </w:r>
      <w:r>
        <w:rPr>
          <w:rtl w:val="true"/>
        </w:rPr>
        <w:t>ובראן</w:t>
      </w:r>
      <w:r>
        <w:rPr>
          <w:rtl w:val="true"/>
        </w:rPr>
        <w:t xml:space="preserve">, </w:t>
      </w:r>
      <w:r>
        <w:rPr>
          <w:rtl w:val="true"/>
        </w:rPr>
        <w:t xml:space="preserve">בהחלטתו מיום </w:t>
      </w:r>
      <w:r>
        <w:rPr/>
        <w:t>2/02/2011</w:t>
      </w:r>
      <w:r>
        <w:rPr>
          <w:rtl w:val="true"/>
        </w:rPr>
        <w:t xml:space="preserve"> </w:t>
      </w:r>
      <w:r>
        <w:rPr>
          <w:rtl w:val="true"/>
        </w:rPr>
        <w:t xml:space="preserve">במסגרת </w:t>
      </w:r>
      <w:hyperlink r:id="rId4">
        <w:r>
          <w:rPr>
            <w:rStyle w:val="Hyperlink"/>
            <w:rtl w:val="true"/>
          </w:rPr>
          <w:t>רע</w:t>
        </w:r>
        <w:r>
          <w:rPr>
            <w:rStyle w:val="Hyperlink"/>
            <w:rtl w:val="true"/>
          </w:rPr>
          <w:t>"</w:t>
        </w:r>
        <w:r>
          <w:rPr>
            <w:rStyle w:val="Hyperlink"/>
            <w:rtl w:val="true"/>
          </w:rPr>
          <w:t xml:space="preserve">פ </w:t>
        </w:r>
        <w:r>
          <w:rPr>
            <w:rStyle w:val="Hyperlink"/>
          </w:rPr>
          <w:t>898/11</w:t>
        </w:r>
      </w:hyperlink>
      <w:r>
        <w:rPr>
          <w:rtl w:val="true"/>
        </w:rPr>
        <w:t xml:space="preserve"> </w:t>
      </w:r>
      <w:r>
        <w:rPr>
          <w:u w:val="single"/>
          <w:rtl w:val="true"/>
        </w:rPr>
        <w:t>עטאללה אקרע נ</w:t>
      </w:r>
      <w:r>
        <w:rPr>
          <w:u w:val="single"/>
          <w:rtl w:val="true"/>
        </w:rPr>
        <w:t xml:space="preserve">' </w:t>
      </w:r>
      <w:r>
        <w:rPr>
          <w:u w:val="single"/>
          <w:rtl w:val="true"/>
        </w:rPr>
        <w:t>מדינת ישראל</w:t>
      </w:r>
      <w:r>
        <w:rPr>
          <w:rtl w:val="true"/>
        </w:rPr>
        <w:t xml:space="preserve"> </w:t>
      </w:r>
      <w:r>
        <w:rPr>
          <w:rtl w:val="true"/>
        </w:rPr>
        <w:t xml:space="preserve">, </w:t>
      </w:r>
      <w:r>
        <w:rPr>
          <w:rtl w:val="true"/>
        </w:rPr>
        <w:t>שב וציטט החלטות קודמות ועמד על החומרה שבעבירה ומדיניות הענישה הראויה</w:t>
      </w:r>
      <w:r>
        <w:rPr>
          <w:rtl w:val="true"/>
        </w:rPr>
        <w:t xml:space="preserve">:" </w:t>
      </w:r>
      <w:r>
        <w:rPr>
          <w:b/>
          <w:b/>
          <w:bCs/>
          <w:rtl w:val="true"/>
        </w:rPr>
        <w:t>בית משפט זה עמד פעמים רבות על חומרתן של העבירות בכלי נשק ועל החובה להשית בעבירות אלו עונש חמור המשקף את חומרתן ואשר יש בו כדי להרתיע עבריינים בכוח מלבצע עבירות דומות</w:t>
      </w:r>
      <w:r>
        <w:rPr>
          <w:b/>
          <w:bCs/>
          <w:rtl w:val="true"/>
        </w:rPr>
        <w:t xml:space="preserve">... </w:t>
      </w:r>
      <w:r>
        <w:rPr>
          <w:b/>
          <w:b/>
          <w:bCs/>
          <w:rtl w:val="true"/>
        </w:rPr>
        <w:t>החזקה של כלי נשק על ידי מי שאינו מורשה בכך יש בה פוטנציאל להוביל להסלמה חמורה ולתוצאות קשות של כל אירוע בו יהיה מעורב אותו נושא נשק</w:t>
      </w:r>
      <w:r>
        <w:rPr>
          <w:b/>
          <w:bCs/>
          <w:rtl w:val="true"/>
        </w:rPr>
        <w:t>... (</w:t>
      </w:r>
      <w:r>
        <w:rPr>
          <w:b/>
          <w:b/>
          <w:bCs/>
          <w:color w:val="000000"/>
          <w:rtl w:val="true"/>
        </w:rPr>
        <w:t>רע</w:t>
      </w:r>
      <w:r>
        <w:rPr>
          <w:b/>
          <w:bCs/>
          <w:color w:val="000000"/>
          <w:rtl w:val="true"/>
        </w:rPr>
        <w:t>"</w:t>
      </w:r>
      <w:r>
        <w:rPr>
          <w:b/>
          <w:b/>
          <w:bCs/>
          <w:color w:val="000000"/>
          <w:rtl w:val="true"/>
        </w:rPr>
        <w:t xml:space="preserve">פ </w:t>
      </w:r>
      <w:r>
        <w:rPr>
          <w:b/>
          <w:bCs/>
          <w:color w:val="000000"/>
        </w:rPr>
        <w:t>5921/09</w:t>
      </w:r>
      <w:r>
        <w:rPr>
          <w:b/>
          <w:bCs/>
          <w:rtl w:val="true"/>
        </w:rPr>
        <w:t xml:space="preserve"> </w:t>
      </w:r>
      <w:r>
        <w:rPr>
          <w:b/>
          <w:b/>
          <w:bCs/>
          <w:rtl w:val="true"/>
        </w:rPr>
        <w:t>רג</w:t>
      </w:r>
      <w:r>
        <w:rPr>
          <w:b/>
          <w:bCs/>
          <w:rtl w:val="true"/>
        </w:rPr>
        <w:t>'</w:t>
      </w:r>
      <w:r>
        <w:rPr>
          <w:b/>
          <w:b/>
          <w:bCs/>
          <w:rtl w:val="true"/>
        </w:rPr>
        <w:t>בי נ</w:t>
      </w:r>
      <w:r>
        <w:rPr>
          <w:b/>
          <w:bCs/>
          <w:rtl w:val="true"/>
        </w:rPr>
        <w:t xml:space="preserve">' </w:t>
      </w:r>
      <w:r>
        <w:rPr>
          <w:b/>
          <w:b/>
          <w:bCs/>
          <w:rtl w:val="true"/>
        </w:rPr>
        <w:t>מדינת ישראל</w:t>
      </w:r>
      <w:r>
        <w:rPr>
          <w:b/>
          <w:bCs/>
          <w:rtl w:val="true"/>
        </w:rPr>
        <w:t xml:space="preserve">)... </w:t>
      </w:r>
      <w:r>
        <w:rPr>
          <w:b/>
          <w:b/>
          <w:bCs/>
          <w:rtl w:val="true"/>
        </w:rPr>
        <w:t>במקרה אחר עמדתי על כך שעבירה של החזקת נשק מצדיקה הטלת עונש של ריצוי מאסר בפועל</w:t>
      </w:r>
      <w:r>
        <w:rPr>
          <w:b/>
          <w:bCs/>
          <w:rtl w:val="true"/>
        </w:rPr>
        <w:t xml:space="preserve">, </w:t>
      </w:r>
      <w:r>
        <w:rPr>
          <w:b/>
          <w:b/>
          <w:bCs/>
          <w:rtl w:val="true"/>
        </w:rPr>
        <w:t>גם על מי שעברו הפלילי נקי וכי במסגרת השיקולים שיש לשקול בטרם גזירת דינו של נאשם מסוג זה</w:t>
      </w:r>
      <w:r>
        <w:rPr>
          <w:b/>
          <w:bCs/>
          <w:rtl w:val="true"/>
        </w:rPr>
        <w:t xml:space="preserve">, </w:t>
      </w:r>
      <w:r>
        <w:rPr>
          <w:b/>
          <w:b/>
          <w:bCs/>
          <w:rtl w:val="true"/>
        </w:rPr>
        <w:t xml:space="preserve">יש לתת משקל גדול יותר לאינטרס הציבורי על פני נסיבותיו האישיות </w:t>
      </w:r>
      <w:r>
        <w:rPr>
          <w:b/>
          <w:bCs/>
          <w:rtl w:val="true"/>
        </w:rPr>
        <w:t>(</w:t>
      </w:r>
      <w:hyperlink r:id="rId5">
        <w:r>
          <w:rPr>
            <w:rStyle w:val="Hyperlink"/>
            <w:b/>
            <w:b/>
            <w:bCs/>
            <w:rtl w:val="true"/>
          </w:rPr>
          <w:t>רע</w:t>
        </w:r>
        <w:r>
          <w:rPr>
            <w:rStyle w:val="Hyperlink"/>
            <w:b/>
            <w:bCs/>
            <w:rtl w:val="true"/>
          </w:rPr>
          <w:t>"</w:t>
        </w:r>
        <w:r>
          <w:rPr>
            <w:rStyle w:val="Hyperlink"/>
            <w:b/>
            <w:b/>
            <w:bCs/>
            <w:rtl w:val="true"/>
          </w:rPr>
          <w:t xml:space="preserve">פ </w:t>
        </w:r>
        <w:r>
          <w:rPr>
            <w:rStyle w:val="Hyperlink"/>
            <w:b/>
            <w:bCs/>
          </w:rPr>
          <w:t>10376/05</w:t>
        </w:r>
      </w:hyperlink>
      <w:r>
        <w:rPr>
          <w:b/>
          <w:bCs/>
          <w:rtl w:val="true"/>
        </w:rPr>
        <w:t xml:space="preserve"> </w:t>
      </w:r>
      <w:r>
        <w:rPr>
          <w:b/>
          <w:b/>
          <w:bCs/>
          <w:rtl w:val="true"/>
        </w:rPr>
        <w:t>ברהום נ</w:t>
      </w:r>
      <w:r>
        <w:rPr>
          <w:b/>
          <w:bCs/>
          <w:rtl w:val="true"/>
        </w:rPr>
        <w:t xml:space="preserve">' </w:t>
      </w:r>
      <w:r>
        <w:rPr>
          <w:b/>
          <w:b/>
          <w:bCs/>
          <w:rtl w:val="true"/>
        </w:rPr>
        <w:t>מדינת ישראל</w:t>
      </w:r>
      <w:r>
        <w:rPr>
          <w:b/>
          <w:bCs/>
          <w:rtl w:val="true"/>
        </w:rPr>
        <w:t>)</w:t>
      </w:r>
      <w:r>
        <w:rPr>
          <w:rtl w:val="true"/>
        </w:rPr>
        <w:t>"</w:t>
      </w:r>
    </w:p>
    <w:p>
      <w:pPr>
        <w:pStyle w:val="Normal"/>
        <w:spacing w:lineRule="auto" w:line="360"/>
        <w:ind w:end="0"/>
        <w:jc w:val="start"/>
        <w:rPr/>
      </w:pPr>
      <w:r>
        <w:rPr>
          <w:rtl w:val="true"/>
        </w:rPr>
      </w:r>
    </w:p>
    <w:p>
      <w:pPr>
        <w:pStyle w:val="Normal"/>
        <w:spacing w:lineRule="auto" w:line="360"/>
        <w:ind w:end="0"/>
        <w:jc w:val="start"/>
        <w:rPr/>
      </w:pPr>
      <w:r>
        <w:rPr>
          <w:rtl w:val="true"/>
        </w:rPr>
        <w:t>כך ובדומה ניתן לצטט מהחלטת כב</w:t>
      </w:r>
      <w:r>
        <w:rPr>
          <w:rtl w:val="true"/>
        </w:rPr>
        <w:t xml:space="preserve">' </w:t>
      </w:r>
      <w:r>
        <w:rPr>
          <w:rtl w:val="true"/>
        </w:rPr>
        <w:t>השופט רובינשטיין ב</w:t>
      </w:r>
      <w:hyperlink r:id="rId6">
        <w:r>
          <w:rPr>
            <w:rStyle w:val="Hyperlink"/>
            <w:rtl w:val="true"/>
          </w:rPr>
          <w:t>ע</w:t>
        </w:r>
        <w:r>
          <w:rPr>
            <w:rStyle w:val="Hyperlink"/>
            <w:rtl w:val="true"/>
          </w:rPr>
          <w:t>"</w:t>
        </w:r>
        <w:r>
          <w:rPr>
            <w:rStyle w:val="Hyperlink"/>
            <w:rtl w:val="true"/>
          </w:rPr>
          <w:t xml:space="preserve">פ </w:t>
        </w:r>
        <w:r>
          <w:rPr>
            <w:rStyle w:val="Hyperlink"/>
          </w:rPr>
          <w:t>5220/09</w:t>
        </w:r>
      </w:hyperlink>
      <w:r>
        <w:rPr>
          <w:rtl w:val="true"/>
        </w:rPr>
        <w:t xml:space="preserve"> </w:t>
      </w:r>
      <w:r>
        <w:rPr>
          <w:u w:val="single"/>
          <w:rtl w:val="true"/>
        </w:rPr>
        <w:t>הייתם עוואודה נ</w:t>
      </w:r>
      <w:r>
        <w:rPr>
          <w:u w:val="single"/>
          <w:rtl w:val="true"/>
        </w:rPr>
        <w:t xml:space="preserve">' </w:t>
      </w:r>
      <w:r>
        <w:rPr>
          <w:u w:val="single"/>
          <w:rtl w:val="true"/>
        </w:rPr>
        <w:t>מדינת ישראל</w:t>
      </w:r>
      <w:r>
        <w:rPr>
          <w:rtl w:val="true"/>
        </w:rPr>
        <w:t>: "</w:t>
      </w:r>
      <w:r>
        <w:rPr>
          <w:b/>
          <w:b/>
          <w:bCs/>
          <w:rtl w:val="true"/>
        </w:rPr>
        <w:t>נשק הוא נשק הוא נשק</w:t>
      </w:r>
      <w:r>
        <w:rPr>
          <w:b/>
          <w:bCs/>
          <w:rtl w:val="true"/>
        </w:rPr>
        <w:t xml:space="preserve">, </w:t>
      </w:r>
      <w:r>
        <w:rPr>
          <w:b/>
          <w:b/>
          <w:bCs/>
          <w:rtl w:val="true"/>
        </w:rPr>
        <w:t>ובנסיבות הישראליות נשק בידיים לא מורשות עלול להתגלגל למקום לא טוב</w:t>
      </w:r>
      <w:r>
        <w:rPr>
          <w:b/>
          <w:bCs/>
          <w:rtl w:val="true"/>
        </w:rPr>
        <w:t xml:space="preserve">, </w:t>
      </w:r>
      <w:r>
        <w:rPr>
          <w:b/>
          <w:b/>
          <w:bCs/>
          <w:rtl w:val="true"/>
        </w:rPr>
        <w:t xml:space="preserve">וכדברי האומר </w:t>
      </w:r>
      <w:r>
        <w:rPr>
          <w:b/>
          <w:bCs/>
          <w:rtl w:val="true"/>
        </w:rPr>
        <w:t>"</w:t>
      </w:r>
      <w:r>
        <w:rPr>
          <w:b/>
          <w:b/>
          <w:bCs/>
          <w:rtl w:val="true"/>
        </w:rPr>
        <w:t>מחזה שבמערכתו הראשונה נראה אקדח</w:t>
      </w:r>
      <w:r>
        <w:rPr>
          <w:b/>
          <w:bCs/>
          <w:rtl w:val="true"/>
        </w:rPr>
        <w:t xml:space="preserve">, </w:t>
      </w:r>
      <w:r>
        <w:rPr>
          <w:b/>
          <w:b/>
          <w:bCs/>
          <w:rtl w:val="true"/>
        </w:rPr>
        <w:t>עשוי האקדח לירות במערכה האחרונה</w:t>
      </w:r>
      <w:r>
        <w:rPr>
          <w:b/>
          <w:bCs/>
          <w:rtl w:val="true"/>
        </w:rPr>
        <w:t>"</w:t>
      </w:r>
      <w:r>
        <w:rPr>
          <w:rtl w:val="true"/>
        </w:rPr>
        <w:t>.</w:t>
      </w:r>
    </w:p>
    <w:p>
      <w:pPr>
        <w:pStyle w:val="Normal"/>
        <w:spacing w:lineRule="auto" w:line="360"/>
        <w:ind w:end="0"/>
        <w:jc w:val="start"/>
        <w:rPr/>
      </w:pPr>
      <w:r>
        <w:rPr>
          <w:rtl w:val="true"/>
        </w:rPr>
      </w:r>
    </w:p>
    <w:p>
      <w:pPr>
        <w:pStyle w:val="Normal"/>
        <w:spacing w:lineRule="auto" w:line="360"/>
        <w:ind w:end="0"/>
        <w:jc w:val="start"/>
        <w:rPr/>
      </w:pPr>
      <w:r>
        <w:rPr>
          <w:rtl w:val="true"/>
        </w:rPr>
      </w:r>
    </w:p>
    <w:p>
      <w:pPr>
        <w:pStyle w:val="Normal"/>
        <w:spacing w:lineRule="auto" w:line="360"/>
        <w:ind w:end="0"/>
        <w:jc w:val="start"/>
        <w:rPr/>
      </w:pPr>
      <w:r>
        <w:rPr>
          <w:rtl w:val="true"/>
        </w:rPr>
      </w:r>
    </w:p>
    <w:p>
      <w:pPr>
        <w:pStyle w:val="Normal"/>
        <w:spacing w:lineRule="auto" w:line="360"/>
        <w:ind w:end="0"/>
        <w:jc w:val="start"/>
        <w:rPr/>
      </w:pPr>
      <w:r>
        <w:rPr>
          <w:rtl w:val="true"/>
        </w:rPr>
      </w:r>
    </w:p>
    <w:p>
      <w:pPr>
        <w:pStyle w:val="Normal"/>
        <w:spacing w:lineRule="auto" w:line="360"/>
        <w:ind w:end="0"/>
        <w:jc w:val="start"/>
        <w:rPr/>
      </w:pPr>
      <w:r>
        <w:rPr>
          <w:rtl w:val="true"/>
        </w:rPr>
      </w:r>
    </w:p>
    <w:p>
      <w:pPr>
        <w:pStyle w:val="Normal"/>
        <w:spacing w:lineRule="auto" w:line="360"/>
        <w:ind w:end="0"/>
        <w:jc w:val="start"/>
        <w:rPr/>
      </w:pPr>
      <w:r>
        <w:rPr>
          <w:rtl w:val="true"/>
        </w:rPr>
        <w:t>בענייננו</w:t>
      </w:r>
      <w:r>
        <w:rPr>
          <w:rtl w:val="true"/>
        </w:rPr>
        <w:t xml:space="preserve">, </w:t>
      </w:r>
      <w:r>
        <w:rPr>
          <w:rtl w:val="true"/>
        </w:rPr>
        <w:t>במסגרת שיקולי הענישה ולחומרה יש ליתן המשקל לסוג הנשק</w:t>
      </w:r>
      <w:r>
        <w:rPr>
          <w:rtl w:val="true"/>
        </w:rPr>
        <w:t xml:space="preserve">, </w:t>
      </w:r>
      <w:r>
        <w:rPr>
          <w:rtl w:val="true"/>
        </w:rPr>
        <w:t>כמות הכדורים מקום ואופן החזקתם</w:t>
      </w:r>
      <w:r>
        <w:rPr>
          <w:rtl w:val="true"/>
        </w:rPr>
        <w:t xml:space="preserve">. </w:t>
      </w:r>
      <w:r>
        <w:rPr>
          <w:rtl w:val="true"/>
        </w:rPr>
        <w:t xml:space="preserve">המדובר באקדח וכן בכמות של מאה עשרים ושבע כדורי אקדח </w:t>
      </w:r>
      <w:r>
        <w:rPr/>
        <w:t>9</w:t>
      </w:r>
      <w:r>
        <w:rPr>
          <w:rtl w:val="true"/>
        </w:rPr>
        <w:t xml:space="preserve"> </w:t>
      </w:r>
      <w:r>
        <w:rPr>
          <w:rtl w:val="true"/>
        </w:rPr>
        <w:t>מ</w:t>
      </w:r>
      <w:r>
        <w:rPr>
          <w:rtl w:val="true"/>
        </w:rPr>
        <w:t>"</w:t>
      </w:r>
      <w:r>
        <w:rPr>
          <w:rtl w:val="true"/>
        </w:rPr>
        <w:t xml:space="preserve">מ </w:t>
      </w:r>
      <w:r>
        <w:rPr>
          <w:rtl w:val="true"/>
        </w:rPr>
        <w:t xml:space="preserve">, </w:t>
      </w:r>
      <w:r>
        <w:rPr>
          <w:rtl w:val="true"/>
        </w:rPr>
        <w:t>מוסתרים מתחת לארון בחדר השינה</w:t>
      </w:r>
      <w:r>
        <w:rPr>
          <w:rtl w:val="true"/>
        </w:rPr>
        <w:t xml:space="preserve">. </w:t>
      </w:r>
      <w:r>
        <w:rPr>
          <w:rtl w:val="true"/>
        </w:rPr>
        <w:t>גרסת הנאשם לפיה האקדח ישן ולא ניתן להשתמש בו</w:t>
      </w:r>
      <w:r>
        <w:rPr>
          <w:rtl w:val="true"/>
        </w:rPr>
        <w:t xml:space="preserve">, </w:t>
      </w:r>
      <w:r>
        <w:rPr>
          <w:rtl w:val="true"/>
        </w:rPr>
        <w:t>לא הוכחה ואינה מתיישבת עם העובדה כי האקדח הוסתר</w:t>
      </w:r>
      <w:r>
        <w:rPr>
          <w:rtl w:val="true"/>
        </w:rPr>
        <w:t xml:space="preserve">. </w:t>
      </w:r>
    </w:p>
    <w:p>
      <w:pPr>
        <w:pStyle w:val="Normal"/>
        <w:spacing w:lineRule="auto" w:line="360"/>
        <w:ind w:end="0"/>
        <w:jc w:val="start"/>
        <w:rPr/>
      </w:pPr>
      <w:r>
        <w:rPr>
          <w:rtl w:val="true"/>
        </w:rPr>
      </w:r>
    </w:p>
    <w:p>
      <w:pPr>
        <w:pStyle w:val="Normal"/>
        <w:spacing w:lineRule="auto" w:line="360"/>
        <w:ind w:end="0"/>
        <w:jc w:val="start"/>
        <w:rPr/>
      </w:pPr>
      <w:r>
        <w:rPr>
          <w:rtl w:val="true"/>
        </w:rPr>
        <w:t>הדגש</w:t>
      </w:r>
      <w:r>
        <w:rPr>
          <w:rtl w:val="true"/>
        </w:rPr>
        <w:t xml:space="preserve">, </w:t>
      </w:r>
      <w:r>
        <w:rPr>
          <w:rtl w:val="true"/>
        </w:rPr>
        <w:t>כפי האמור בפסיקה הינו על פוטנציאל המסוכנות ואלמנט הרתעת היחיד והרבים</w:t>
      </w:r>
      <w:r>
        <w:rPr>
          <w:rtl w:val="true"/>
        </w:rPr>
        <w:t xml:space="preserve">, </w:t>
      </w:r>
      <w:r>
        <w:rPr>
          <w:rtl w:val="true"/>
        </w:rPr>
        <w:t>הגם כשעסקינן בנאשמים נעדרי עבר פלילי</w:t>
      </w:r>
      <w:r>
        <w:rPr>
          <w:rtl w:val="true"/>
        </w:rPr>
        <w:t>.</w:t>
      </w:r>
    </w:p>
    <w:p>
      <w:pPr>
        <w:pStyle w:val="Normal"/>
        <w:spacing w:lineRule="auto" w:line="360"/>
        <w:ind w:end="0"/>
        <w:jc w:val="start"/>
        <w:rPr/>
      </w:pPr>
      <w:r>
        <w:rPr>
          <w:rtl w:val="true"/>
        </w:rPr>
      </w:r>
    </w:p>
    <w:p>
      <w:pPr>
        <w:pStyle w:val="Normal"/>
        <w:spacing w:lineRule="auto" w:line="360"/>
        <w:ind w:end="0"/>
        <w:jc w:val="start"/>
        <w:rPr/>
      </w:pPr>
      <w:r>
        <w:rPr>
          <w:rtl w:val="true"/>
        </w:rPr>
        <w:t>לצד החומרה שבמעשה ובמסגרת תורת הענישה האינדיווידואלית יש ליתן המשקל לנסיבותיו לקולא של הנאשם</w:t>
      </w:r>
      <w:r>
        <w:rPr>
          <w:rtl w:val="true"/>
        </w:rPr>
        <w:t xml:space="preserve">. </w:t>
      </w:r>
    </w:p>
    <w:p>
      <w:pPr>
        <w:pStyle w:val="Normal"/>
        <w:spacing w:lineRule="auto" w:line="360"/>
        <w:ind w:end="0"/>
        <w:jc w:val="start"/>
        <w:rPr/>
      </w:pPr>
      <w:r>
        <w:rPr>
          <w:rtl w:val="true"/>
        </w:rPr>
      </w:r>
    </w:p>
    <w:p>
      <w:pPr>
        <w:pStyle w:val="Normal"/>
        <w:spacing w:lineRule="auto" w:line="360"/>
        <w:ind w:end="0"/>
        <w:jc w:val="start"/>
        <w:rPr/>
      </w:pPr>
      <w:r>
        <w:rPr>
          <w:rtl w:val="true"/>
        </w:rPr>
        <w:t xml:space="preserve">הנאשם צעיר בגיל </w:t>
      </w:r>
      <w:r>
        <w:rPr/>
        <w:t>22</w:t>
      </w:r>
      <w:r>
        <w:rPr>
          <w:rtl w:val="true"/>
        </w:rPr>
        <w:t xml:space="preserve">, </w:t>
      </w:r>
      <w:r>
        <w:rPr>
          <w:rtl w:val="true"/>
        </w:rPr>
        <w:t>רווק</w:t>
      </w:r>
      <w:r>
        <w:rPr>
          <w:rtl w:val="true"/>
        </w:rPr>
        <w:t xml:space="preserve">, </w:t>
      </w:r>
      <w:r>
        <w:rPr>
          <w:rtl w:val="true"/>
        </w:rPr>
        <w:t>נעדר עבר פלילי ולא נרשמו לחובתו הסתבכויות נוספות</w:t>
      </w:r>
      <w:r>
        <w:rPr>
          <w:rtl w:val="true"/>
        </w:rPr>
        <w:t xml:space="preserve">. </w:t>
      </w:r>
      <w:r>
        <w:rPr>
          <w:rtl w:val="true"/>
        </w:rPr>
        <w:t>מעורבות משפחתו של הנאשם</w:t>
      </w:r>
      <w:r>
        <w:rPr>
          <w:rtl w:val="true"/>
        </w:rPr>
        <w:t xml:space="preserve">, </w:t>
      </w:r>
      <w:r>
        <w:rPr>
          <w:rtl w:val="true"/>
        </w:rPr>
        <w:t>כמו גם השפעת ההליך והמעצר מהווים בעבורו אלמנט מרתיע ומפחיתים במידה מסוימת את החשש להישנות מעורבות פלילית</w:t>
      </w:r>
      <w:r>
        <w:rPr>
          <w:rtl w:val="true"/>
        </w:rPr>
        <w:t xml:space="preserve">. </w:t>
      </w:r>
      <w:r>
        <w:rPr>
          <w:rtl w:val="true"/>
        </w:rPr>
        <w:t>כן ולקולא יש ליתן הדעת למשך תקופת מעצרו</w:t>
      </w:r>
      <w:r>
        <w:rPr>
          <w:rtl w:val="true"/>
        </w:rPr>
        <w:t xml:space="preserve">, </w:t>
      </w:r>
      <w:r>
        <w:rPr>
          <w:rtl w:val="true"/>
        </w:rPr>
        <w:t>בפעם הראשונה בחייו ולשאיפותיו הנורמטיביות</w:t>
      </w:r>
      <w:r>
        <w:rPr>
          <w:rtl w:val="true"/>
        </w:rPr>
        <w:t xml:space="preserve">, </w:t>
      </w:r>
      <w:r>
        <w:rPr>
          <w:rtl w:val="true"/>
        </w:rPr>
        <w:t>כמפורט בתסקיר שירות המבחן</w:t>
      </w:r>
      <w:r>
        <w:rPr>
          <w:rtl w:val="true"/>
        </w:rPr>
        <w:t>.</w:t>
      </w:r>
    </w:p>
    <w:p>
      <w:pPr>
        <w:pStyle w:val="Normal"/>
        <w:spacing w:lineRule="auto" w:line="360"/>
        <w:ind w:end="0"/>
        <w:jc w:val="start"/>
        <w:rPr/>
      </w:pPr>
      <w:r>
        <w:rPr>
          <w:rtl w:val="true"/>
        </w:rPr>
      </w:r>
    </w:p>
    <w:p>
      <w:pPr>
        <w:pStyle w:val="Normal"/>
        <w:spacing w:lineRule="auto" w:line="360"/>
        <w:ind w:end="0"/>
        <w:jc w:val="start"/>
        <w:rPr>
          <w:b/>
        </w:rPr>
      </w:pPr>
      <w:r>
        <w:rPr>
          <w:b/>
          <w:b/>
          <w:rtl w:val="true"/>
        </w:rPr>
        <w:t>לאור כל האמור לעיל</w:t>
      </w:r>
      <w:r>
        <w:rPr>
          <w:b/>
          <w:rtl w:val="true"/>
        </w:rPr>
        <w:t xml:space="preserve">, </w:t>
      </w:r>
      <w:r>
        <w:rPr>
          <w:b/>
          <w:b/>
          <w:rtl w:val="true"/>
        </w:rPr>
        <w:t>ובהתחשב בשיקולי הענישה</w:t>
      </w:r>
      <w:r>
        <w:rPr>
          <w:b/>
          <w:rtl w:val="true"/>
        </w:rPr>
        <w:t xml:space="preserve">, </w:t>
      </w:r>
      <w:r>
        <w:rPr>
          <w:b/>
          <w:b/>
          <w:rtl w:val="true"/>
        </w:rPr>
        <w:t>הנסיבות לקולא ולחומרא</w:t>
      </w:r>
      <w:r>
        <w:rPr>
          <w:b/>
          <w:rtl w:val="true"/>
        </w:rPr>
        <w:t xml:space="preserve">, </w:t>
      </w:r>
      <w:r>
        <w:rPr>
          <w:b/>
          <w:b/>
          <w:rtl w:val="true"/>
        </w:rPr>
        <w:t>ונסיבות העושה והמעשה</w:t>
      </w:r>
      <w:r>
        <w:rPr>
          <w:b/>
          <w:rtl w:val="true"/>
        </w:rPr>
        <w:t xml:space="preserve">, </w:t>
      </w:r>
      <w:r>
        <w:rPr>
          <w:b/>
          <w:b/>
          <w:rtl w:val="true"/>
        </w:rPr>
        <w:t>הנני דן את הנאשם כדלקמן</w:t>
      </w:r>
      <w:r>
        <w:rPr>
          <w:b/>
          <w:rtl w:val="true"/>
        </w:rPr>
        <w:t>:</w:t>
      </w:r>
    </w:p>
    <w:p>
      <w:pPr>
        <w:pStyle w:val="Normal"/>
        <w:spacing w:lineRule="auto" w:line="360"/>
        <w:ind w:end="0"/>
        <w:jc w:val="start"/>
        <w:rPr>
          <w:b/>
        </w:rPr>
      </w:pPr>
      <w:r>
        <w:rPr>
          <w:b/>
          <w:rtl w:val="true"/>
        </w:rPr>
      </w:r>
    </w:p>
    <w:p>
      <w:pPr>
        <w:pStyle w:val="Normal"/>
        <w:spacing w:lineRule="auto" w:line="360"/>
        <w:ind w:hanging="720" w:start="720" w:end="0"/>
        <w:jc w:val="start"/>
        <w:rPr/>
      </w:pPr>
      <w:r>
        <w:rPr>
          <w:rtl w:val="true"/>
        </w:rPr>
        <w:t>א</w:t>
      </w:r>
      <w:r>
        <w:rPr>
          <w:rtl w:val="true"/>
        </w:rPr>
        <w:t>.</w:t>
        <w:tab/>
      </w:r>
      <w:r>
        <w:rPr/>
        <w:t>5</w:t>
      </w:r>
      <w:r>
        <w:rPr>
          <w:rtl w:val="true"/>
        </w:rPr>
        <w:t xml:space="preserve"> </w:t>
      </w:r>
      <w:r>
        <w:rPr>
          <w:rtl w:val="true"/>
        </w:rPr>
        <w:t>חודשים מאסר בפועל אשר ירוצו בעבודות שירות בהתאם לחוות דעת הממונה על  עבודות השירות בשב</w:t>
      </w:r>
      <w:r>
        <w:rPr>
          <w:rtl w:val="true"/>
        </w:rPr>
        <w:t>"</w:t>
      </w:r>
      <w:r>
        <w:rPr>
          <w:rtl w:val="true"/>
        </w:rPr>
        <w:t>ס</w:t>
      </w:r>
      <w:r>
        <w:rPr>
          <w:rtl w:val="true"/>
        </w:rPr>
        <w:t xml:space="preserve">. </w:t>
      </w:r>
      <w:r>
        <w:rPr>
          <w:rtl w:val="true"/>
        </w:rPr>
        <w:t>הנאשם יתייצב לתחילת ריצוי העונש</w:t>
      </w:r>
      <w:r>
        <w:rPr>
          <w:rtl w:val="true"/>
        </w:rPr>
        <w:t xml:space="preserve">, </w:t>
      </w:r>
      <w:r>
        <w:rPr>
          <w:rtl w:val="true"/>
        </w:rPr>
        <w:t xml:space="preserve">ביום </w:t>
      </w:r>
      <w:r>
        <w:rPr/>
        <w:t>25/05/11</w:t>
      </w:r>
      <w:r>
        <w:rPr>
          <w:rtl w:val="true"/>
        </w:rPr>
        <w:t xml:space="preserve"> </w:t>
      </w:r>
      <w:r>
        <w:rPr>
          <w:rtl w:val="true"/>
        </w:rPr>
        <w:t xml:space="preserve">שעה </w:t>
      </w:r>
      <w:r>
        <w:rPr/>
        <w:t>8:00</w:t>
      </w:r>
      <w:r>
        <w:rPr>
          <w:rtl w:val="true"/>
        </w:rPr>
        <w:t xml:space="preserve"> </w:t>
      </w:r>
      <w:r>
        <w:rPr>
          <w:rtl w:val="true"/>
        </w:rPr>
        <w:t>במפקדת מחוז דרום שליד כלא באר שבע</w:t>
      </w:r>
      <w:r>
        <w:rPr>
          <w:rtl w:val="true"/>
        </w:rPr>
        <w:t xml:space="preserve">. </w:t>
      </w:r>
    </w:p>
    <w:p>
      <w:pPr>
        <w:pStyle w:val="Normal"/>
        <w:spacing w:lineRule="auto" w:line="360"/>
        <w:ind w:start="360" w:end="0"/>
        <w:jc w:val="start"/>
        <w:rPr/>
      </w:pPr>
      <w:r>
        <w:rPr>
          <w:rtl w:val="true"/>
        </w:rPr>
      </w:r>
    </w:p>
    <w:p>
      <w:pPr>
        <w:pStyle w:val="Normal"/>
        <w:spacing w:lineRule="auto" w:line="360"/>
        <w:ind w:start="360" w:end="0"/>
        <w:jc w:val="start"/>
        <w:rPr/>
      </w:pPr>
      <w:r>
        <w:rPr>
          <w:rtl w:val="true"/>
        </w:rPr>
      </w:r>
    </w:p>
    <w:p>
      <w:pPr>
        <w:pStyle w:val="Normal"/>
        <w:spacing w:lineRule="auto" w:line="360"/>
        <w:ind w:end="0"/>
        <w:jc w:val="start"/>
        <w:rPr/>
      </w:pPr>
      <w:r>
        <w:rPr>
          <w:rtl w:val="true"/>
        </w:rPr>
        <w:t>ב</w:t>
      </w:r>
      <w:r>
        <w:rPr>
          <w:rtl w:val="true"/>
        </w:rPr>
        <w:t>.</w:t>
        <w:tab/>
      </w:r>
      <w:r>
        <w:rPr/>
        <w:t>9</w:t>
      </w:r>
      <w:r>
        <w:rPr>
          <w:rtl w:val="true"/>
        </w:rPr>
        <w:t xml:space="preserve"> </w:t>
      </w:r>
      <w:r>
        <w:rPr>
          <w:rtl w:val="true"/>
        </w:rPr>
        <w:t>חודשים מאסר על תנאי למשך שלוש שנים מהיום</w:t>
      </w:r>
      <w:r>
        <w:rPr>
          <w:rtl w:val="true"/>
        </w:rPr>
        <w:t xml:space="preserve">, </w:t>
      </w:r>
      <w:r>
        <w:rPr>
          <w:rtl w:val="true"/>
        </w:rPr>
        <w:t>שהנאשם לא יעבור כל עבירה בנשק</w:t>
      </w:r>
      <w:r>
        <w:rPr>
          <w:rtl w:val="true"/>
        </w:rPr>
        <w:t>.</w:t>
      </w:r>
    </w:p>
    <w:p>
      <w:pPr>
        <w:pStyle w:val="Normal"/>
        <w:spacing w:lineRule="auto" w:line="360"/>
        <w:ind w:end="720"/>
        <w:jc w:val="start"/>
        <w:rPr/>
      </w:pPr>
      <w:r>
        <w:rPr>
          <w:rtl w:val="true"/>
        </w:rPr>
      </w:r>
    </w:p>
    <w:p>
      <w:pPr>
        <w:pStyle w:val="Normal"/>
        <w:spacing w:lineRule="auto" w:line="360"/>
        <w:ind w:end="0"/>
        <w:jc w:val="start"/>
        <w:rPr/>
      </w:pPr>
      <w:r>
        <w:rPr>
          <w:rtl w:val="true"/>
        </w:rPr>
        <w:t>מורה על חילוט המוצגים</w:t>
      </w:r>
      <w:r>
        <w:rPr>
          <w:rtl w:val="true"/>
        </w:rPr>
        <w:t>.</w:t>
      </w:r>
    </w:p>
    <w:p>
      <w:pPr>
        <w:pStyle w:val="Normal"/>
        <w:spacing w:lineRule="auto" w:line="360"/>
        <w:ind w:end="0"/>
        <w:jc w:val="start"/>
        <w:rPr/>
      </w:pPr>
      <w:r>
        <w:rPr>
          <w:rtl w:val="true"/>
        </w:rPr>
      </w:r>
    </w:p>
    <w:p>
      <w:pPr>
        <w:pStyle w:val="Normal"/>
        <w:spacing w:lineRule="auto" w:line="360"/>
        <w:ind w:end="0"/>
        <w:jc w:val="start"/>
        <w:rPr/>
      </w:pPr>
      <w:r>
        <w:rPr>
          <w:rtl w:val="true"/>
        </w:rPr>
        <w:t>ההפקדה בתיק המעצר תוחזר לנאשם</w:t>
      </w:r>
      <w:r>
        <w:rPr>
          <w:rtl w:val="true"/>
        </w:rPr>
        <w:t xml:space="preserve">.  </w:t>
      </w:r>
    </w:p>
    <w:p>
      <w:pPr>
        <w:pStyle w:val="Normal"/>
        <w:spacing w:lineRule="auto" w:line="360"/>
        <w:ind w:end="0"/>
        <w:jc w:val="start"/>
        <w:rPr/>
      </w:pPr>
      <w:r>
        <w:rPr>
          <w:rtl w:val="true"/>
        </w:rPr>
      </w:r>
    </w:p>
    <w:p>
      <w:pPr>
        <w:pStyle w:val="Normal"/>
        <w:spacing w:lineRule="auto" w:line="360"/>
        <w:ind w:end="0"/>
        <w:jc w:val="start"/>
        <w:rPr>
          <w:b/>
          <w:bCs/>
          <w:u w:val="single"/>
        </w:rPr>
      </w:pPr>
      <w:r>
        <w:rPr>
          <w:b/>
          <w:b/>
          <w:bCs/>
          <w:u w:val="single"/>
          <w:rtl w:val="true"/>
        </w:rPr>
        <w:t>עותק לממונה על עבודות השירות בשב</w:t>
      </w:r>
      <w:r>
        <w:rPr>
          <w:b/>
          <w:bCs/>
          <w:u w:val="single"/>
          <w:rtl w:val="true"/>
        </w:rPr>
        <w:t>"</w:t>
      </w:r>
      <w:r>
        <w:rPr>
          <w:b/>
          <w:b/>
          <w:bCs/>
          <w:u w:val="single"/>
          <w:rtl w:val="true"/>
        </w:rPr>
        <w:t>ס</w:t>
      </w:r>
      <w:r>
        <w:rPr>
          <w:b/>
          <w:bCs/>
          <w:u w:val="single"/>
          <w:rtl w:val="true"/>
        </w:rPr>
        <w:t>.</w:t>
      </w:r>
    </w:p>
    <w:p>
      <w:pPr>
        <w:pStyle w:val="Normal"/>
        <w:spacing w:lineRule="auto" w:line="360"/>
        <w:ind w:end="0"/>
        <w:jc w:val="start"/>
        <w:rPr>
          <w:b/>
          <w:bCs/>
          <w:u w:val="single"/>
        </w:rPr>
      </w:pPr>
      <w:r>
        <w:rPr>
          <w:b/>
          <w:bCs/>
          <w:u w:val="single"/>
          <w:rtl w:val="true"/>
        </w:rPr>
      </w:r>
    </w:p>
    <w:p>
      <w:pPr>
        <w:pStyle w:val="Normal"/>
        <w:spacing w:lineRule="auto" w:line="360"/>
        <w:ind w:end="0"/>
        <w:jc w:val="start"/>
        <w:rPr>
          <w:b/>
          <w:bCs/>
        </w:rPr>
      </w:pPr>
      <w:r>
        <w:rPr>
          <w:b/>
          <w:b/>
          <w:bCs/>
          <w:rtl w:val="true"/>
        </w:rPr>
        <w:t>זכות ערעור כחוק</w:t>
      </w:r>
      <w:r>
        <w:rPr>
          <w:b/>
          <w:bCs/>
          <w:rtl w:val="true"/>
        </w:rPr>
        <w:t>.</w:t>
      </w:r>
    </w:p>
    <w:p>
      <w:pPr>
        <w:pStyle w:val="Normal"/>
        <w:spacing w:lineRule="auto" w:line="360"/>
        <w:ind w:end="0"/>
        <w:jc w:val="both"/>
        <w:rPr>
          <w:sz w:val="6"/>
          <w:szCs w:val="6"/>
        </w:rPr>
      </w:pPr>
      <w:r>
        <w:rPr>
          <w:sz w:val="6"/>
          <w:szCs w:val="6"/>
          <w:rtl w:val="true"/>
        </w:rPr>
        <w:t>&lt;</w:t>
      </w:r>
      <w:r>
        <w:rPr>
          <w:sz w:val="6"/>
          <w:szCs w:val="6"/>
        </w:rPr>
        <w:t>#3#</w:t>
      </w:r>
      <w:r>
        <w:rPr>
          <w:sz w:val="6"/>
          <w:szCs w:val="6"/>
          <w:rtl w:val="true"/>
        </w:rPr>
        <w:t>&gt;</w:t>
      </w:r>
    </w:p>
    <w:p>
      <w:pPr>
        <w:pStyle w:val="Normal"/>
        <w:ind w:end="0"/>
        <w:jc w:val="end"/>
        <w:rPr>
          <w:sz w:val="6"/>
          <w:szCs w:val="6"/>
        </w:rPr>
      </w:pPr>
      <w:r>
        <w:rPr>
          <w:sz w:val="6"/>
          <w:szCs w:val="6"/>
          <w:rtl w:val="true"/>
        </w:rPr>
      </w:r>
    </w:p>
    <w:p>
      <w:pPr>
        <w:pStyle w:val="Normal"/>
        <w:ind w:end="0"/>
        <w:jc w:val="center"/>
        <w:rPr>
          <w:b/>
          <w:bCs/>
          <w:color w:val="FFFFFF"/>
          <w:sz w:val="2"/>
          <w:szCs w:val="2"/>
        </w:rPr>
      </w:pPr>
      <w:r>
        <w:rPr>
          <w:b/>
          <w:bCs/>
          <w:color w:val="FFFFFF"/>
          <w:sz w:val="2"/>
          <w:szCs w:val="2"/>
          <w:rtl w:val="true"/>
        </w:rPr>
      </w:r>
    </w:p>
    <w:p>
      <w:pPr>
        <w:pStyle w:val="Normal"/>
        <w:ind w:end="0"/>
        <w:jc w:val="center"/>
        <w:rPr>
          <w:b/>
          <w:bCs/>
          <w:color w:val="FFFFFF"/>
          <w:sz w:val="2"/>
          <w:szCs w:val="2"/>
        </w:rPr>
      </w:pPr>
      <w:r>
        <w:rPr>
          <w:b/>
          <w:bCs/>
          <w:color w:val="FFFFFF"/>
          <w:sz w:val="2"/>
          <w:szCs w:val="2"/>
        </w:rPr>
        <w:t>5129371</w:t>
      </w:r>
    </w:p>
    <w:p>
      <w:pPr>
        <w:pStyle w:val="Normal"/>
        <w:keepNext w:val="true"/>
        <w:ind w:end="0"/>
        <w:jc w:val="start"/>
        <w:rPr>
          <w:b/>
          <w:bCs/>
          <w:color w:val="000000"/>
          <w:sz w:val="22"/>
          <w:szCs w:val="22"/>
        </w:rPr>
      </w:pPr>
      <w:r>
        <w:rPr>
          <w:b/>
          <w:bCs/>
          <w:color w:val="000000"/>
          <w:sz w:val="22"/>
          <w:szCs w:val="22"/>
          <w:rtl w:val="true"/>
        </w:rPr>
      </w:r>
    </w:p>
    <w:p>
      <w:pPr>
        <w:pStyle w:val="Normal"/>
        <w:keepNext w:val="true"/>
        <w:ind w:end="0"/>
        <w:jc w:val="start"/>
        <w:rPr>
          <w:color w:val="000000"/>
          <w:sz w:val="22"/>
          <w:szCs w:val="22"/>
        </w:rPr>
      </w:pPr>
      <w:r>
        <w:rPr>
          <w:color w:val="000000"/>
          <w:sz w:val="22"/>
          <w:szCs w:val="22"/>
          <w:rtl w:val="true"/>
        </w:rPr>
      </w:r>
    </w:p>
    <w:p>
      <w:pPr>
        <w:pStyle w:val="Normal"/>
        <w:keepNext w:val="true"/>
        <w:ind w:end="0"/>
        <w:jc w:val="start"/>
        <w:rPr>
          <w:color w:val="000000"/>
          <w:sz w:val="22"/>
          <w:szCs w:val="22"/>
        </w:rPr>
      </w:pPr>
      <w:r>
        <w:rPr>
          <w:color w:val="000000"/>
          <w:sz w:val="22"/>
          <w:sz w:val="22"/>
          <w:szCs w:val="22"/>
          <w:rtl w:val="true"/>
        </w:rPr>
        <w:t>ג</w:t>
      </w:r>
      <w:r>
        <w:rPr>
          <w:color w:val="000000"/>
          <w:sz w:val="22"/>
          <w:szCs w:val="22"/>
          <w:rtl w:val="true"/>
        </w:rPr>
        <w:t>'</w:t>
      </w:r>
      <w:r>
        <w:rPr>
          <w:color w:val="000000"/>
          <w:sz w:val="22"/>
          <w:sz w:val="22"/>
          <w:szCs w:val="22"/>
          <w:rtl w:val="true"/>
        </w:rPr>
        <w:t xml:space="preserve">ורג אמוראי </w:t>
      </w:r>
      <w:r>
        <w:rPr>
          <w:color w:val="000000"/>
          <w:sz w:val="22"/>
          <w:szCs w:val="22"/>
        </w:rPr>
        <w:t>54678313-2690/09</w:t>
      </w:r>
    </w:p>
    <w:p>
      <w:pPr>
        <w:pStyle w:val="Normal"/>
        <w:ind w:end="0"/>
        <w:jc w:val="center"/>
        <w:rPr/>
      </w:pPr>
      <w:r>
        <w:rPr>
          <w:b/>
          <w:bCs/>
          <w:color w:val="FFFFFF"/>
          <w:sz w:val="2"/>
          <w:szCs w:val="2"/>
        </w:rPr>
        <w:t>54678313</w:t>
      </w:r>
      <w:r>
        <w:rPr>
          <w:b/>
          <w:b/>
          <w:bCs/>
          <w:rtl w:val="true"/>
        </w:rPr>
        <w:t>ניתנה והודעה היום ו</w:t>
      </w:r>
      <w:r>
        <w:rPr>
          <w:b/>
          <w:bCs/>
          <w:rtl w:val="true"/>
        </w:rPr>
        <w:t xml:space="preserve">' </w:t>
      </w:r>
      <w:r>
        <w:rPr>
          <w:b/>
          <w:b/>
          <w:bCs/>
          <w:rtl w:val="true"/>
        </w:rPr>
        <w:t>ניסן תשע</w:t>
      </w:r>
      <w:r>
        <w:rPr>
          <w:b/>
          <w:bCs/>
          <w:rtl w:val="true"/>
        </w:rPr>
        <w:t>"</w:t>
      </w:r>
      <w:r>
        <w:rPr>
          <w:b/>
          <w:b/>
          <w:bCs/>
          <w:rtl w:val="true"/>
        </w:rPr>
        <w:t>א</w:t>
      </w:r>
      <w:r>
        <w:rPr>
          <w:b/>
          <w:bCs/>
          <w:rtl w:val="true"/>
        </w:rPr>
        <w:t xml:space="preserve">, </w:t>
      </w:r>
      <w:r>
        <w:rPr>
          <w:b/>
          <w:bCs/>
        </w:rPr>
        <w:t>10/04/2011</w:t>
      </w:r>
      <w:r>
        <w:rPr>
          <w:b/>
          <w:bCs/>
          <w:rtl w:val="true"/>
        </w:rPr>
        <w:t xml:space="preserve"> </w:t>
      </w:r>
      <w:r>
        <w:rPr>
          <w:b/>
          <w:b/>
          <w:bCs/>
          <w:rtl w:val="true"/>
        </w:rPr>
        <w:t>במעמד הנוכחים</w:t>
      </w:r>
      <w:r>
        <w:rPr>
          <w:b/>
          <w:bCs/>
          <w:rtl w:val="true"/>
        </w:rPr>
        <w:t xml:space="preserve">.   </w:t>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ג</w:t>
            </w:r>
            <w:r>
              <w:rPr>
                <w:b/>
                <w:bCs/>
                <w:rtl w:val="true"/>
              </w:rPr>
              <w:t>'</w:t>
            </w:r>
            <w:r>
              <w:rPr>
                <w:b/>
                <w:b/>
                <w:bCs/>
                <w:rtl w:val="true"/>
              </w:rPr>
              <w:t>ורג</w:t>
            </w:r>
            <w:r>
              <w:rPr>
                <w:b/>
                <w:b/>
                <w:bCs/>
                <w:rtl w:val="true"/>
              </w:rPr>
              <w:t xml:space="preserve"> </w:t>
            </w:r>
            <w:r>
              <w:rPr>
                <w:b/>
                <w:b/>
                <w:bCs/>
                <w:rtl w:val="true"/>
              </w:rPr>
              <w:t>אמוראי</w:t>
            </w:r>
            <w:r>
              <w:rPr>
                <w:b/>
                <w:bCs/>
                <w:rtl w:val="true"/>
              </w:rPr>
              <w:t xml:space="preserve">, </w:t>
            </w:r>
            <w:r>
              <w:rPr>
                <w:b/>
                <w:b/>
                <w:bCs/>
                <w:rtl w:val="true"/>
              </w:rPr>
              <w:t>שופט</w:t>
            </w:r>
          </w:p>
        </w:tc>
      </w:tr>
    </w:tbl>
    <w:p>
      <w:pPr>
        <w:pStyle w:val="Normal"/>
        <w:ind w:end="0"/>
        <w:jc w:val="end"/>
        <w:rPr>
          <w:color w:val="FFFFFF"/>
          <w:sz w:val="2"/>
          <w:szCs w:val="2"/>
        </w:rPr>
      </w:pPr>
      <w:r>
        <w:rPr>
          <w:color w:val="FFFFFF"/>
          <w:sz w:val="2"/>
          <w:szCs w:val="2"/>
          <w:rtl w:val="true"/>
        </w:rPr>
      </w:r>
    </w:p>
    <w:p>
      <w:pPr>
        <w:pStyle w:val="Normal"/>
        <w:ind w:end="0"/>
        <w:jc w:val="end"/>
        <w:rPr>
          <w:color w:val="FFFFFF"/>
          <w:sz w:val="2"/>
          <w:szCs w:val="2"/>
        </w:rPr>
      </w:pPr>
      <w:r>
        <w:rPr>
          <w:color w:val="FFFFFF"/>
          <w:sz w:val="2"/>
          <w:szCs w:val="2"/>
        </w:rPr>
        <w:t>5129371</w:t>
      </w:r>
    </w:p>
    <w:p>
      <w:pPr>
        <w:pStyle w:val="Normal"/>
        <w:ind w:end="0"/>
        <w:jc w:val="end"/>
        <w:rPr/>
      </w:pPr>
      <w:r>
        <w:rPr>
          <w:color w:val="FFFFFF"/>
          <w:sz w:val="2"/>
          <w:szCs w:val="2"/>
        </w:rPr>
        <w:t>54678313</w:t>
      </w:r>
    </w:p>
    <w:p>
      <w:pPr>
        <w:pStyle w:val="Normal"/>
        <w:spacing w:lineRule="auto" w:line="360"/>
        <w:ind w:end="0"/>
        <w:jc w:val="start"/>
        <w:rPr/>
      </w:pPr>
      <w:r>
        <w:rPr>
          <w:rtl w:val="true"/>
        </w:rPr>
      </w:r>
    </w:p>
    <w:p>
      <w:pPr>
        <w:pStyle w:val="Normal"/>
        <w:ind w:end="0"/>
        <w:jc w:val="start"/>
        <w:rPr>
          <w:rFonts w:cs="FrankRuehl"/>
          <w:sz w:val="28"/>
          <w:szCs w:val="28"/>
        </w:rPr>
      </w:pPr>
      <w:r>
        <w:rPr>
          <w:rFonts w:ascii="Arial" w:hAnsi="Arial" w:cs="FrankRuehl"/>
          <w:sz w:val="28"/>
          <w:sz w:val="28"/>
          <w:szCs w:val="28"/>
          <w:rtl w:val="true"/>
        </w:rPr>
        <w:t>הוקלד</w:t>
      </w:r>
      <w:r>
        <w:rPr>
          <w:rFonts w:ascii="Arial" w:hAnsi="Arial" w:eastAsia="Arial" w:cs="Arial"/>
          <w:sz w:val="28"/>
          <w:sz w:val="28"/>
          <w:szCs w:val="28"/>
          <w:rtl w:val="true"/>
        </w:rPr>
        <w:t xml:space="preserve"> </w:t>
      </w:r>
      <w:r>
        <w:rPr>
          <w:rFonts w:ascii="Arial" w:hAnsi="Arial" w:cs="FrankRuehl"/>
          <w:sz w:val="28"/>
          <w:sz w:val="28"/>
          <w:szCs w:val="28"/>
          <w:rtl w:val="true"/>
        </w:rPr>
        <w:t>על</w:t>
      </w:r>
      <w:r>
        <w:rPr>
          <w:rFonts w:ascii="Arial" w:hAnsi="Arial" w:eastAsia="Arial" w:cs="Arial"/>
          <w:sz w:val="28"/>
          <w:sz w:val="28"/>
          <w:szCs w:val="28"/>
          <w:rtl w:val="true"/>
        </w:rPr>
        <w:t xml:space="preserve"> </w:t>
      </w:r>
      <w:r>
        <w:rPr>
          <w:rFonts w:ascii="Arial" w:hAnsi="Arial" w:cs="FrankRuehl"/>
          <w:sz w:val="28"/>
          <w:sz w:val="28"/>
          <w:szCs w:val="28"/>
          <w:rtl w:val="true"/>
        </w:rPr>
        <w:t>ידי</w:t>
      </w:r>
      <w:r>
        <w:rPr>
          <w:rFonts w:cs="FrankRuehl" w:ascii="Arial" w:hAnsi="Arial"/>
          <w:sz w:val="28"/>
          <w:szCs w:val="28"/>
          <w:rtl w:val="true"/>
        </w:rPr>
        <w:t xml:space="preserve">: </w:t>
      </w:r>
      <w:r>
        <w:rPr>
          <w:rFonts w:ascii="Arial" w:hAnsi="Arial" w:cs="FrankRuehl"/>
          <w:sz w:val="28"/>
          <w:sz w:val="28"/>
          <w:szCs w:val="28"/>
          <w:rtl w:val="true"/>
        </w:rPr>
        <w:t>איריס</w:t>
      </w:r>
      <w:r>
        <w:rPr>
          <w:rFonts w:ascii="Arial" w:hAnsi="Arial" w:eastAsia="Arial" w:cs="Arial"/>
          <w:sz w:val="28"/>
          <w:sz w:val="28"/>
          <w:szCs w:val="28"/>
          <w:rtl w:val="true"/>
        </w:rPr>
        <w:t xml:space="preserve"> </w:t>
      </w:r>
      <w:r>
        <w:rPr>
          <w:rFonts w:ascii="Arial" w:hAnsi="Arial" w:cs="FrankRuehl"/>
          <w:sz w:val="28"/>
          <w:sz w:val="28"/>
          <w:szCs w:val="28"/>
          <w:rtl w:val="true"/>
        </w:rPr>
        <w:t>אוחיון</w:t>
      </w:r>
    </w:p>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00"/>
        </w:rPr>
      </w:pPr>
      <w:r>
        <w:rPr>
          <w:color w:val="000000"/>
          <w:rtl w:val="true"/>
        </w:rPr>
        <w:t>בעניין עריכה ושינויים במסמכי פסיקה</w:t>
      </w:r>
      <w:r>
        <w:rPr>
          <w:color w:val="000000"/>
          <w:rtl w:val="true"/>
        </w:rPr>
        <w:t xml:space="preserve">, </w:t>
      </w:r>
      <w:r>
        <w:rPr>
          <w:color w:val="000000"/>
          <w:rtl w:val="true"/>
        </w:rPr>
        <w:t>חקיקה ועוד באתר נבו – הקש כאן</w:t>
      </w:r>
    </w:p>
    <w:sectPr>
      <w:headerReference w:type="default" r:id="rId7"/>
      <w:footerReference w:type="default" r:id="rId8"/>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4</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ב</w:t>
    </w:r>
    <w:r>
      <w:rPr>
        <w:color w:val="000000"/>
        <w:sz w:val="22"/>
        <w:szCs w:val="22"/>
        <w:rtl w:val="true"/>
      </w:rPr>
      <w:t>"</w:t>
    </w:r>
    <w:r>
      <w:rPr>
        <w:color w:val="000000"/>
        <w:sz w:val="22"/>
        <w:sz w:val="22"/>
        <w:szCs w:val="22"/>
        <w:rtl w:val="true"/>
      </w:rPr>
      <w:t>ש</w:t>
    </w:r>
    <w:r>
      <w:rPr>
        <w:color w:val="000000"/>
        <w:sz w:val="22"/>
        <w:szCs w:val="22"/>
        <w:rtl w:val="true"/>
      </w:rPr>
      <w:t xml:space="preserve">) </w:t>
    </w:r>
    <w:r>
      <w:rPr>
        <w:color w:val="000000"/>
        <w:sz w:val="22"/>
        <w:szCs w:val="22"/>
      </w:rPr>
      <w:t>2690-09</w:t>
    </w:r>
    <w:r>
      <w:rPr>
        <w:color w:val="000000"/>
        <w:sz w:val="22"/>
        <w:szCs w:val="22"/>
        <w:rtl w:val="true"/>
      </w:rPr>
      <w:tab/>
      <w:t xml:space="preserve"> </w:t>
    </w:r>
    <w:r>
      <w:rPr>
        <w:color w:val="000000"/>
        <w:sz w:val="22"/>
        <w:sz w:val="22"/>
        <w:szCs w:val="22"/>
        <w:rtl w:val="true"/>
      </w:rPr>
      <w:t>מ</w:t>
    </w:r>
    <w:r>
      <w:rPr>
        <w:color w:val="000000"/>
        <w:sz w:val="22"/>
        <w:szCs w:val="22"/>
        <w:rtl w:val="true"/>
      </w:rPr>
      <w:t>.</w:t>
    </w:r>
    <w:r>
      <w:rPr>
        <w:color w:val="000000"/>
        <w:sz w:val="22"/>
        <w:sz w:val="22"/>
        <w:szCs w:val="22"/>
        <w:rtl w:val="true"/>
      </w:rPr>
      <w:t>י</w:t>
    </w:r>
    <w:r>
      <w:rPr>
        <w:color w:val="000000"/>
        <w:sz w:val="22"/>
        <w:szCs w:val="22"/>
        <w:rtl w:val="true"/>
      </w:rPr>
      <w:t xml:space="preserve">. </w:t>
    </w:r>
    <w:r>
      <w:rPr>
        <w:color w:val="000000"/>
        <w:sz w:val="22"/>
        <w:sz w:val="22"/>
        <w:szCs w:val="22"/>
        <w:rtl w:val="true"/>
      </w:rPr>
      <w:t>פרקליטות מחוז דרום</w:t>
    </w:r>
    <w:r>
      <w:rPr>
        <w:color w:val="000000"/>
        <w:sz w:val="22"/>
        <w:szCs w:val="22"/>
        <w:rtl w:val="true"/>
      </w:rPr>
      <w:t>-</w:t>
    </w:r>
    <w:r>
      <w:rPr>
        <w:color w:val="000000"/>
        <w:sz w:val="22"/>
        <w:sz w:val="22"/>
        <w:szCs w:val="22"/>
        <w:rtl w:val="true"/>
      </w:rPr>
      <w:t>פלילי נ</w:t>
    </w:r>
    <w:r>
      <w:rPr>
        <w:color w:val="000000"/>
        <w:sz w:val="22"/>
        <w:szCs w:val="22"/>
        <w:rtl w:val="true"/>
      </w:rPr>
      <w:t xml:space="preserve">' </w:t>
    </w:r>
    <w:r>
      <w:rPr>
        <w:color w:val="000000"/>
        <w:sz w:val="22"/>
        <w:sz w:val="22"/>
        <w:szCs w:val="22"/>
        <w:rtl w:val="true"/>
      </w:rPr>
      <w:t>אקרם אבו עגאג</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pPr>
    <w:rPr>
      <w:rFonts w:ascii="David" w:hAnsi="David" w:eastAsia="David" w:cs="David"/>
      <w:color w:val="auto"/>
      <w:sz w:val="24"/>
      <w:szCs w:val="24"/>
      <w:lang w:val="en-US" w:bidi="he-IL" w:eastAsia="zh-CN"/>
    </w:rPr>
  </w:style>
  <w:style w:type="character" w:styleId="DefaultParagraphFont">
    <w:name w:val="Default Paragraph Font"/>
    <w:qFormat/>
    <w:rPr/>
  </w:style>
  <w:style w:type="character" w:styleId="PageNumber">
    <w:name w:val="page number"/>
    <w:basedOn w:val="DefaultParagraphFont"/>
    <w:rPr/>
  </w:style>
  <w:style w:type="character" w:styleId="TimesNewRomanTimesNewRoman">
    <w:name w:val="סגנון (לטיני) Times New Roman (עברית ושפות אחרות) Times New Roman..."/>
    <w:basedOn w:val="DefaultParagraphFont"/>
    <w:qFormat/>
    <w:rPr>
      <w:rFonts w:ascii="Times New Roman" w:hAnsi="Times New Roman" w:cs="David"/>
      <w:b/>
      <w:bCs/>
      <w:sz w:val="26"/>
      <w:szCs w:val="26"/>
    </w:rPr>
  </w:style>
  <w:style w:type="character" w:styleId="LineNumber">
    <w:name w:val="line number"/>
    <w:basedOn w:val="DefaultParagraphFont"/>
    <w:rPr/>
  </w:style>
  <w:style w:type="character" w:styleId="Hyperlink">
    <w:name w:val="Hyperlink"/>
    <w:basedOn w:val="DefaultParagraphFont"/>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 TargetMode="External"/><Relationship Id="rId4" Type="http://schemas.openxmlformats.org/officeDocument/2006/relationships/hyperlink" Target="http://www.nevo.co.il/case/5733731" TargetMode="External"/><Relationship Id="rId5" Type="http://schemas.openxmlformats.org/officeDocument/2006/relationships/hyperlink" Target="http://www.nevo.co.il/case/6169310" TargetMode="External"/><Relationship Id="rId6" Type="http://schemas.openxmlformats.org/officeDocument/2006/relationships/hyperlink" Target="http://www.nevo.co.il/case/6000182"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2016-01-26T09:41:00Z</dcterms:created>
  <dc:creator> </dc:creator>
  <dc:description/>
  <cp:keywords/>
  <dc:language>en-IL</dc:language>
  <cp:lastModifiedBy>run</cp:lastModifiedBy>
  <dcterms:modified xsi:type="dcterms:W3CDTF">2016-01-26T09:41:00Z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מ.י. פרקליטות מחוז דרום-פלילי</vt:lpwstr>
  </property>
  <property fmtid="{D5CDD505-2E9C-101B-9397-08002B2CF9AE}" pid="3" name="APPELLEE">
    <vt:lpwstr>אקרם אבו עגאג</vt:lpwstr>
  </property>
  <property fmtid="{D5CDD505-2E9C-101B-9397-08002B2CF9AE}" pid="4" name="CASENOTES1">
    <vt:lpwstr>ProcID=174;133;209&amp;PartA=5921&amp;PartC=09</vt:lpwstr>
  </property>
  <property fmtid="{D5CDD505-2E9C-101B-9397-08002B2CF9AE}" pid="5" name="CASESLISTTMP1">
    <vt:lpwstr>5733731;6169310;6000182</vt:lpwstr>
  </property>
  <property fmtid="{D5CDD505-2E9C-101B-9397-08002B2CF9AE}" pid="6" name="CITY">
    <vt:lpwstr>ב"ש</vt:lpwstr>
  </property>
  <property fmtid="{D5CDD505-2E9C-101B-9397-08002B2CF9AE}" pid="7" name="DATE">
    <vt:lpwstr>20110410</vt:lpwstr>
  </property>
  <property fmtid="{D5CDD505-2E9C-101B-9397-08002B2CF9AE}" pid="8" name="DELEMATA">
    <vt:lpwstr/>
  </property>
  <property fmtid="{D5CDD505-2E9C-101B-9397-08002B2CF9AE}" pid="9" name="ISABSTRACT">
    <vt:lpwstr>Y</vt:lpwstr>
  </property>
  <property fmtid="{D5CDD505-2E9C-101B-9397-08002B2CF9AE}" pid="10" name="JUDGE">
    <vt:lpwstr>ג'ורג אמוראי</vt:lpwstr>
  </property>
  <property fmtid="{D5CDD505-2E9C-101B-9397-08002B2CF9AE}" pid="11" name="LAWLISTTMP1">
    <vt:lpwstr>70301</vt:lpwstr>
  </property>
  <property fmtid="{D5CDD505-2E9C-101B-9397-08002B2CF9AE}" pid="12" name="LAWYER">
    <vt:lpwstr>ג'רר;כאמל אלזיאדנה</vt:lpwstr>
  </property>
  <property fmtid="{D5CDD505-2E9C-101B-9397-08002B2CF9AE}" pid="13" name="LINKK1">
    <vt:lpwstr/>
  </property>
  <property fmtid="{D5CDD505-2E9C-101B-9397-08002B2CF9AE}" pid="14" name="LINKK10">
    <vt:lpwstr/>
  </property>
  <property fmtid="{D5CDD505-2E9C-101B-9397-08002B2CF9AE}" pid="15" name="LINKK11">
    <vt:lpwstr/>
  </property>
  <property fmtid="{D5CDD505-2E9C-101B-9397-08002B2CF9AE}" pid="16" name="LINKK12">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LINKK6">
    <vt:lpwstr/>
  </property>
  <property fmtid="{D5CDD505-2E9C-101B-9397-08002B2CF9AE}" pid="22" name="LINKK7">
    <vt:lpwstr/>
  </property>
  <property fmtid="{D5CDD505-2E9C-101B-9397-08002B2CF9AE}" pid="23" name="LINKK8">
    <vt:lpwstr/>
  </property>
  <property fmtid="{D5CDD505-2E9C-101B-9397-08002B2CF9AE}" pid="24" name="LINKK9">
    <vt:lpwstr/>
  </property>
  <property fmtid="{D5CDD505-2E9C-101B-9397-08002B2CF9AE}" pid="25" name="NEWPARTA">
    <vt:lpwstr>2690</vt:lpwstr>
  </property>
  <property fmtid="{D5CDD505-2E9C-101B-9397-08002B2CF9AE}" pid="26" name="NEWPARTB">
    <vt:lpwstr/>
  </property>
  <property fmtid="{D5CDD505-2E9C-101B-9397-08002B2CF9AE}" pid="27" name="NEWPARTC">
    <vt:lpwstr>09</vt:lpwstr>
  </property>
  <property fmtid="{D5CDD505-2E9C-101B-9397-08002B2CF9AE}" pid="28" name="NEWPROC">
    <vt:lpwstr>תפ</vt:lpwstr>
  </property>
  <property fmtid="{D5CDD505-2E9C-101B-9397-08002B2CF9AE}" pid="29" name="PADIMAIL">
    <vt:lpwstr/>
  </property>
  <property fmtid="{D5CDD505-2E9C-101B-9397-08002B2CF9AE}" pid="30" name="PAGE">
    <vt:lpwstr/>
  </property>
  <property fmtid="{D5CDD505-2E9C-101B-9397-08002B2CF9AE}" pid="31" name="PART">
    <vt:lpwstr/>
  </property>
  <property fmtid="{D5CDD505-2E9C-101B-9397-08002B2CF9AE}" pid="32" name="PROCESS">
    <vt:lpwstr/>
  </property>
  <property fmtid="{D5CDD505-2E9C-101B-9397-08002B2CF9AE}" pid="33" name="PROCNUM">
    <vt:lpwstr>2690</vt:lpwstr>
  </property>
  <property fmtid="{D5CDD505-2E9C-101B-9397-08002B2CF9AE}" pid="34" name="PROCYEAR">
    <vt:lpwstr>09</vt:lpwstr>
  </property>
  <property fmtid="{D5CDD505-2E9C-101B-9397-08002B2CF9AE}" pid="35" name="PSAKDIN">
    <vt:lpwstr>גזר-דין</vt:lpwstr>
  </property>
  <property fmtid="{D5CDD505-2E9C-101B-9397-08002B2CF9AE}" pid="36" name="RemarkFileName">
    <vt:lpwstr>shalom sh 09 2690 734 htm</vt:lpwstr>
  </property>
  <property fmtid="{D5CDD505-2E9C-101B-9397-08002B2CF9AE}" pid="37" name="TYPE">
    <vt:lpwstr>3</vt:lpwstr>
  </property>
  <property fmtid="{D5CDD505-2E9C-101B-9397-08002B2CF9AE}" pid="38" name="TYPE_ABS_DATE">
    <vt:lpwstr>380020110410</vt:lpwstr>
  </property>
  <property fmtid="{D5CDD505-2E9C-101B-9397-08002B2CF9AE}" pid="39" name="TYPE_N_DATE">
    <vt:lpwstr>38020110410</vt:lpwstr>
  </property>
  <property fmtid="{D5CDD505-2E9C-101B-9397-08002B2CF9AE}" pid="40" name="VOLUME">
    <vt:lpwstr/>
  </property>
  <property fmtid="{D5CDD505-2E9C-101B-9397-08002B2CF9AE}" pid="41" name="WORDNUMPAGES">
    <vt:lpwstr>4</vt:lpwstr>
  </property>
</Properties>
</file>