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26959-10-12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משטרת ישראל תביעות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שלוחת רמלה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פלוני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מוריץ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איתי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בר עוז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Start w:id="4" w:name="LawTable_End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5" w:name="PsakDin"/>
      <w:bookmarkStart w:id="6" w:name="ABSTRACT_START"/>
      <w:bookmarkEnd w:id="5"/>
      <w:bookmarkEnd w:id="6"/>
      <w:r>
        <w:rPr>
          <w:rtl w:val="true"/>
        </w:rPr>
        <w:t>כנגד הנאשם הוגש כתב אישום הכולל שלושה אישומים</w:t>
      </w:r>
      <w:r>
        <w:rPr>
          <w:rtl w:val="true"/>
        </w:rPr>
        <w:t xml:space="preserve">. </w:t>
      </w:r>
      <w:r>
        <w:rPr>
          <w:rtl w:val="true"/>
        </w:rPr>
        <w:t xml:space="preserve">אישום מספר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נמחק בהסכמת הצדדים ונותרו אישומים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באישום הראשון הנאשם הורשע</w:t>
      </w:r>
      <w:r>
        <w:rPr>
          <w:rtl w:val="true"/>
        </w:rPr>
        <w:t xml:space="preserve">, </w:t>
      </w:r>
      <w:r>
        <w:rPr>
          <w:rtl w:val="true"/>
        </w:rPr>
        <w:t xml:space="preserve">לאחר ניהול הוכחות בביצוע עבירת איומים 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על פי עובדות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12.4.12</w:t>
      </w:r>
      <w:r>
        <w:rPr>
          <w:rtl w:val="true"/>
        </w:rPr>
        <w:t xml:space="preserve">, </w:t>
      </w:r>
      <w:r>
        <w:rPr>
          <w:rtl w:val="true"/>
        </w:rPr>
        <w:t>איים הנאשם על אשתו דאז בכך שהתקשר אליה ואמר לה שירצח אותה ויתאבד והילדים שלהם יהיו במוסדות והיא תהיה בקבר</w:t>
      </w:r>
      <w:r>
        <w:rPr>
          <w:rtl w:val="true"/>
        </w:rPr>
        <w:t xml:space="preserve">. </w:t>
      </w:r>
      <w:r>
        <w:rPr>
          <w:rtl w:val="true"/>
        </w:rPr>
        <w:t xml:space="preserve">בנוסף אמר לה </w:t>
      </w:r>
      <w:r>
        <w:rPr>
          <w:rtl w:val="true"/>
        </w:rPr>
        <w:t>"</w:t>
      </w:r>
      <w:r>
        <w:rPr>
          <w:rtl w:val="true"/>
        </w:rPr>
        <w:t>את מוטטת אותי</w:t>
      </w:r>
      <w:r>
        <w:rPr>
          <w:rtl w:val="true"/>
        </w:rPr>
        <w:t xml:space="preserve">, </w:t>
      </w:r>
      <w:r>
        <w:rPr>
          <w:rtl w:val="true"/>
        </w:rPr>
        <w:t>אני אמוטט אותך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הנאשם הורשע בביצוע עבירה של תקיפת סתם של בת זוג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 פי עובדות האישום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במהלך חודש אוגוסט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בתאריך שאינו ידוע במדויק למאשימה</w:t>
      </w:r>
      <w:r>
        <w:rPr>
          <w:rtl w:val="true"/>
        </w:rPr>
        <w:t xml:space="preserve">, </w:t>
      </w:r>
      <w:r>
        <w:rPr>
          <w:rtl w:val="true"/>
        </w:rPr>
        <w:t>בתחומי העיר לוד</w:t>
      </w:r>
      <w:r>
        <w:rPr>
          <w:rtl w:val="true"/>
        </w:rPr>
        <w:t xml:space="preserve">, </w:t>
      </w:r>
      <w:r>
        <w:rPr>
          <w:rtl w:val="true"/>
        </w:rPr>
        <w:t>תקף הנאשם את אשתו דאז בכך שחנק אותה בצווארה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שבפני</w:t>
      </w:r>
      <w:r>
        <w:rPr>
          <w:rtl w:val="true"/>
        </w:rPr>
        <w:t xml:space="preserve">, </w:t>
      </w:r>
      <w:r>
        <w:rPr>
          <w:rtl w:val="true"/>
        </w:rPr>
        <w:t>מדובר בשני אירועים נפרדים שיש לקבוע מתחם עונש הולם לכל אחד מהם בנפרד</w:t>
      </w:r>
      <w:r>
        <w:rPr>
          <w:rtl w:val="true"/>
        </w:rPr>
        <w:t xml:space="preserve">. </w:t>
      </w:r>
      <w:r>
        <w:rPr>
          <w:rtl w:val="true"/>
        </w:rPr>
        <w:t xml:space="preserve">הנני קובע כי מתחם העונש ההולם לגבי כל אחד מהאירועים נע בין מאסר על תנאי ועד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במדיניות הענישה הנוהגת בתיקים של 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בנסיבות דומות למקרה שבפני ראו</w:t>
      </w:r>
      <w:r>
        <w:rPr>
          <w:rtl w:val="true"/>
        </w:rPr>
        <w:t xml:space="preserve">: </w:t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rtl w:val="true"/>
        </w:rPr>
        <w:t>פלוני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12.11.12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rtl w:val="true"/>
        </w:rPr>
        <w:t>שוקרון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rtl w:val="true"/>
        </w:rPr>
        <w:t>משה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rtl w:val="true"/>
        </w:rPr>
        <w:t>סולומון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 קביעת העונש המתאים בתוך מתחם העונש ההולם לקחתי בחשבון את כל הנתונים שלהלן</w:t>
      </w:r>
      <w:r>
        <w:rPr>
          <w:rtl w:val="true"/>
        </w:rPr>
        <w:t xml:space="preserve">: </w:t>
      </w:r>
      <w:r>
        <w:rPr>
          <w:rtl w:val="true"/>
        </w:rPr>
        <w:t>העדר עבר פלילי</w:t>
      </w:r>
      <w:r>
        <w:rPr>
          <w:rtl w:val="true"/>
        </w:rPr>
        <w:t xml:space="preserve">; </w:t>
      </w:r>
      <w:r>
        <w:rPr>
          <w:rtl w:val="true"/>
        </w:rPr>
        <w:t xml:space="preserve">דברי המתלוננת במהלך עדותה בבית המשפט בפרוטוקול עמוד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ועמוד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ואשר לפיהם באופן כללי התנהגותו של הנאשם בתקופת הנישואים לא התאפיינה באלימות והתפקוד שלו כאב לבנותיהם היה חיובי</w:t>
      </w:r>
      <w:r>
        <w:rPr>
          <w:rtl w:val="true"/>
        </w:rPr>
        <w:t xml:space="preserve">; </w:t>
      </w:r>
      <w:r>
        <w:rPr>
          <w:rtl w:val="true"/>
        </w:rPr>
        <w:t>העובדה שהיום בני הזוג גרושים ואין ביניהם שום מגע שיש בו בכדי להביא להתלקחות היחסים ביניהם בשנית</w:t>
      </w:r>
      <w:r>
        <w:rPr>
          <w:rtl w:val="true"/>
        </w:rPr>
        <w:t xml:space="preserve">; </w:t>
      </w:r>
      <w:r>
        <w:rPr>
          <w:rtl w:val="true"/>
        </w:rPr>
        <w:t>בנוסף לקחתי בחשבון את מצבו הכלכלי של הנאשם וזאת לאור המסמכים שהוצגו בפניי וכן את מצבו הרפואי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הנני משית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הנאשם לא יבצע עבירת 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 ישלם פיצוי 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עדת התביעה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הגברת מרים בר</w:t>
      </w:r>
      <w:r>
        <w:rPr>
          <w:rtl w:val="true"/>
        </w:rPr>
        <w:t xml:space="preserve">, </w:t>
      </w:r>
      <w:r>
        <w:rPr>
          <w:rtl w:val="true"/>
        </w:rPr>
        <w:t xml:space="preserve">בסך של </w:t>
      </w:r>
      <w:r>
        <w:rPr/>
        <w:t>2,000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הפיצוי ישולם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כאשר הראשון שבהם עד ליום </w:t>
      </w:r>
      <w:r>
        <w:rPr/>
        <w:t>1.1.15</w:t>
      </w:r>
      <w:r>
        <w:rPr>
          <w:rtl w:val="true"/>
        </w:rPr>
        <w:t xml:space="preserve"> </w:t>
      </w:r>
      <w:r>
        <w:rPr>
          <w:rtl w:val="true"/>
        </w:rPr>
        <w:t>והיתרה 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 חודש שלאחריו</w:t>
      </w:r>
      <w:r>
        <w:rPr>
          <w:rtl w:val="true"/>
        </w:rPr>
        <w:t xml:space="preserve">. </w:t>
      </w:r>
      <w:r>
        <w:rPr>
          <w:rtl w:val="true"/>
        </w:rPr>
        <w:t>היה ואחד התשלומים לא ישולם במועד</w:t>
      </w:r>
      <w:r>
        <w:rPr>
          <w:rtl w:val="true"/>
        </w:rPr>
        <w:t xml:space="preserve">, </w:t>
      </w:r>
      <w:r>
        <w:rPr>
          <w:rtl w:val="true"/>
        </w:rPr>
        <w:t>אזי יעמוד מלוא סכום הפיצוי לפרעון 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הנאשם ישלם קנס בסך   </w:t>
      </w:r>
      <w:r>
        <w:rPr/>
        <w:t>1,500</w:t>
      </w:r>
      <w:r>
        <w:rPr>
          <w:rtl w:val="true"/>
        </w:rPr>
        <w:t xml:space="preserve"> ₪ , </w:t>
      </w:r>
      <w:r>
        <w:rPr>
          <w:rtl w:val="true"/>
        </w:rPr>
        <w:t xml:space="preserve">או </w:t>
      </w:r>
      <w:r>
        <w:rPr/>
        <w:t>5</w:t>
      </w:r>
      <w:r>
        <w:rPr>
          <w:rtl w:val="true"/>
        </w:rPr>
        <w:t xml:space="preserve">  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הקנס ישולם ב</w:t>
      </w:r>
      <w:r>
        <w:rPr>
          <w:rtl w:val="true"/>
        </w:rPr>
        <w:t xml:space="preserve">-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חודשים שווים ורצופים כאשר הראשון שבהם עד ליום   </w:t>
      </w:r>
      <w:r>
        <w:rPr/>
        <w:t>1.3.15</w:t>
      </w:r>
      <w:r>
        <w:rPr>
          <w:rtl w:val="true"/>
        </w:rPr>
        <w:t xml:space="preserve"> </w:t>
      </w:r>
      <w:r>
        <w:rPr>
          <w:rtl w:val="true"/>
        </w:rPr>
        <w:t>והיתרה 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 חודש שלאחריו</w:t>
      </w:r>
      <w:r>
        <w:rPr>
          <w:rtl w:val="true"/>
        </w:rPr>
        <w:t xml:space="preserve">. </w:t>
      </w:r>
      <w:r>
        <w:rPr>
          <w:rtl w:val="true"/>
        </w:rPr>
        <w:t>היה ואחד התשלומים לא ישולם במועד</w:t>
      </w:r>
      <w:r>
        <w:rPr>
          <w:rtl w:val="true"/>
        </w:rPr>
        <w:t xml:space="preserve">, </w:t>
      </w:r>
      <w:r>
        <w:rPr>
          <w:rtl w:val="true"/>
        </w:rPr>
        <w:t>אזי יעמוד מלוא סכום הקנס לפירעון 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19/11/2014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הישאם אבו שחאדה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bookmarkStart w:id="9" w:name="_GoBack"/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</w:t>
      </w:r>
      <w:bookmarkEnd w:id="9"/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249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רעות</w:t>
      </w:r>
      <w:r>
        <w:rPr>
          <w:rtl w:val="true"/>
        </w:rPr>
        <w:t xml:space="preserve"> </w:t>
      </w:r>
      <w:r>
        <w:rPr>
          <w:rtl w:val="true"/>
        </w:rPr>
        <w:t>חסון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26959-10-12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משטרת ישראל תביעות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שלוחת רמלה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82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82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247978" TargetMode="External"/><Relationship Id="rId10" Type="http://schemas.openxmlformats.org/officeDocument/2006/relationships/hyperlink" Target="http://www.nevo.co.il/case/5606505" TargetMode="External"/><Relationship Id="rId11" Type="http://schemas.openxmlformats.org/officeDocument/2006/relationships/hyperlink" Target="http://www.nevo.co.il/case/5568571" TargetMode="External"/><Relationship Id="rId12" Type="http://schemas.openxmlformats.org/officeDocument/2006/relationships/hyperlink" Target="http://www.nevo.co.il/case/5588053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2014-11-24T09:12:00Z</dcterms:created>
  <dc:creator> </dc:creator>
  <dc:description/>
  <cp:keywords/>
  <dc:language>en-IL</dc:language>
  <cp:lastModifiedBy>user</cp:lastModifiedBy>
  <dcterms:modified xsi:type="dcterms:W3CDTF">2014-11-24T12:35:00Z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6247978;5606505;5568571;5588053</vt:lpwstr>
  </property>
  <property fmtid="{D5CDD505-2E9C-101B-9397-08002B2CF9AE}" pid="9" name="CITY">
    <vt:lpwstr>רמ'</vt:lpwstr>
  </property>
  <property fmtid="{D5CDD505-2E9C-101B-9397-08002B2CF9AE}" pid="10" name="DATE">
    <vt:lpwstr>20141119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70301/192;382.b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26959</vt:lpwstr>
  </property>
  <property fmtid="{D5CDD505-2E9C-101B-9397-08002B2CF9AE}" pid="22" name="NEWPARTB">
    <vt:lpwstr>10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380020141119</vt:lpwstr>
  </property>
  <property fmtid="{D5CDD505-2E9C-101B-9397-08002B2CF9AE}" pid="34" name="TYPE_N_DATE">
    <vt:lpwstr>38020141119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