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27128-11-14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גולאני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27145-11-14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שמואל הרבסט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מחמד גולאני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בא כוח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נתי בן חמו</w:t>
      </w:r>
      <w:r>
        <w:rPr>
          <w:u w:val="none"/>
          <w:rtl w:val="true"/>
        </w:rPr>
        <w:br/>
      </w:r>
      <w:r>
        <w:rPr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מוחמד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מחמוד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rtl w:val="true"/>
          </w:rPr>
          <w:t>-(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eastAsia="Calibri" w:cs="Calibri"/>
        </w:rPr>
      </w:pPr>
      <w:r>
        <w:rPr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 פי עובדות כתב האישום אשר בהן הורשע הנאשם בכפוף להודאתו במסגרת הסדר טיעון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רכש הנאשם בתחילת חודש מאי </w:t>
      </w:r>
      <w:r>
        <w:rPr>
          <w:rFonts w:eastAsia="Calibri" w:cs="Calibri" w:ascii="Calibri" w:hAnsi="Calibri"/>
        </w:rPr>
        <w:t>2014</w:t>
      </w:r>
      <w:r>
        <w:rPr>
          <w:rFonts w:eastAsia="Calibri" w:cs="Calibri" w:ascii="Calibri" w:hAnsi="Calibri"/>
          <w:rtl w:val="true"/>
        </w:rPr>
        <w:t xml:space="preserve"> , </w:t>
      </w:r>
      <w:r>
        <w:rPr>
          <w:rFonts w:ascii="Calibri" w:hAnsi="Calibri" w:eastAsia="Calibri" w:cs="Calibri"/>
          <w:rtl w:val="true"/>
        </w:rPr>
        <w:t xml:space="preserve">תת מקלע מאולתר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:"</w:t>
      </w:r>
      <w:r>
        <w:rPr>
          <w:rFonts w:ascii="Calibri" w:hAnsi="Calibri" w:eastAsia="Calibri" w:cs="Calibri"/>
          <w:rtl w:val="true"/>
        </w:rPr>
        <w:t>הנשק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תמורת </w:t>
      </w:r>
      <w:r>
        <w:rPr>
          <w:rFonts w:eastAsia="Calibri" w:cs="Calibri" w:ascii="Calibri" w:hAnsi="Calibri"/>
        </w:rPr>
        <w:t>5,400</w:t>
      </w:r>
      <w:r>
        <w:rPr>
          <w:rFonts w:eastAsia="Calibri" w:cs="Calibri" w:ascii="Calibri" w:hAnsi="Calibri"/>
          <w:rtl w:val="true"/>
        </w:rPr>
        <w:t xml:space="preserve"> ₪  </w:t>
      </w:r>
      <w:r>
        <w:rPr>
          <w:rFonts w:ascii="Calibri" w:hAnsi="Calibri" w:eastAsia="Calibri" w:cs="Calibri"/>
          <w:rtl w:val="true"/>
        </w:rPr>
        <w:t>ללא רישיון להחזקתו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וכן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כדורים תואמים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הסתיר את הנשק 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וירה בו ממרפסתו פעם אחת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נוסף על כך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2.7.14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בעת הלוויתו של הנער מוחמד אבו חדיר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יידה הנאשם עם אחרים שהיו רעולי פנים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אבנים לעבר כוחות הביטחון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tl w:val="true"/>
        </w:rPr>
        <w:t>בשל כל אלו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 הנאשם בעבירות של רכישת נשק והחזקתו</w:t>
      </w:r>
      <w:r>
        <w:rPr>
          <w:rtl w:val="true"/>
        </w:rPr>
        <w:t xml:space="preserve">, </w:t>
      </w:r>
      <w:r>
        <w:rPr>
          <w:rtl w:val="true"/>
        </w:rPr>
        <w:t>ירי בשטח מגורים וניסיון לתקיפת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0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 xml:space="preserve">- </w:t>
      </w:r>
      <w:hyperlink r:id="rId11">
        <w:r>
          <w:rPr>
            <w:rStyle w:val="Hyperlink"/>
          </w:rPr>
          <w:t>274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3">
        <w:r>
          <w:rPr>
            <w:rStyle w:val="Hyperlink"/>
            <w:rtl w:val="true"/>
          </w:rPr>
          <w:t>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מהו העונש הראוי למסכת עבירות מעין זו</w:t>
      </w:r>
      <w:r>
        <w:rPr>
          <w:rtl w:val="true"/>
        </w:rPr>
        <w:t>?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בא כוח המאשימה</w:t>
      </w:r>
      <w:r>
        <w:rPr>
          <w:rtl w:val="true"/>
        </w:rPr>
        <w:t xml:space="preserve"> סבור כי מתחם הענישה ההולם בגין עבירת הנשק צריך שיעמוד על </w:t>
      </w:r>
      <w:r>
        <w:rPr>
          <w:b/>
          <w:bCs/>
        </w:rPr>
        <w:t>12-24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ומתחם הענישה בשל יידוי האבנים צריך שיעמוד על </w:t>
      </w:r>
      <w:r>
        <w:rPr>
          <w:b/>
          <w:bCs/>
        </w:rPr>
        <w:t>6-15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חודשי מאסר בפועל ממש</w:t>
      </w:r>
      <w:r>
        <w:rPr>
          <w:rtl w:val="true"/>
        </w:rPr>
        <w:t xml:space="preserve">,  </w:t>
      </w:r>
      <w:r>
        <w:rPr>
          <w:rtl w:val="true"/>
        </w:rPr>
        <w:t>אך לאור נסיבותיו האישיות ועברו הנקי ונטול ההרשעות</w:t>
      </w:r>
      <w:r>
        <w:rPr>
          <w:rtl w:val="true"/>
        </w:rPr>
        <w:t xml:space="preserve">, </w:t>
      </w:r>
      <w:r>
        <w:rPr>
          <w:rtl w:val="true"/>
        </w:rPr>
        <w:t>יש לקבוע</w:t>
      </w:r>
      <w:r>
        <w:rPr>
          <w:rtl w:val="true"/>
        </w:rPr>
        <w:t xml:space="preserve">, </w:t>
      </w:r>
      <w:r>
        <w:rPr>
          <w:rtl w:val="true"/>
        </w:rPr>
        <w:t>כך לדבריו</w:t>
      </w:r>
      <w:r>
        <w:rPr>
          <w:rtl w:val="true"/>
        </w:rPr>
        <w:t xml:space="preserve">,  </w:t>
      </w:r>
      <w:r>
        <w:rPr>
          <w:rtl w:val="true"/>
        </w:rPr>
        <w:t>כי העונש המתאים צריך שיעמוד על  חלקו התחתון  של המתחם העונשי אך לא בתחתיתו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עשרים חודשי מאסר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וכן קנס 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מדובר בעבירות חמורות ואין להקל עימה ראש</w:t>
      </w:r>
      <w:r>
        <w:rPr>
          <w:rtl w:val="true"/>
        </w:rPr>
        <w:t xml:space="preserve">, </w:t>
      </w:r>
      <w:r>
        <w:rPr>
          <w:rtl w:val="true"/>
        </w:rPr>
        <w:t>בשל העובדה כי נשק הינו חפץ מסוכן ויש להחזיקו רק בכפוף לרישיון מתאים</w:t>
      </w:r>
      <w:r>
        <w:rPr>
          <w:rtl w:val="true"/>
        </w:rPr>
        <w:t xml:space="preserve">, </w:t>
      </w:r>
      <w:r>
        <w:rPr>
          <w:rtl w:val="true"/>
        </w:rPr>
        <w:t>וכי תקיפת השוטרים הינה עבירה חמורה ונפוצה שיש להלחם בה ככל שניתן באמצעות ענישה 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הדגיש </w:t>
      </w:r>
      <w:r>
        <w:rPr>
          <w:b/>
          <w:b/>
          <w:bCs/>
          <w:u w:val="single"/>
          <w:rtl w:val="true"/>
        </w:rPr>
        <w:t>בא כוח הנאשם</w:t>
      </w:r>
      <w:r>
        <w:rPr>
          <w:rtl w:val="true"/>
        </w:rPr>
        <w:t xml:space="preserve"> את רקעו האישי והמשפחתי של הנאשם</w:t>
      </w:r>
      <w:r>
        <w:rPr>
          <w:rtl w:val="true"/>
        </w:rPr>
        <w:t xml:space="preserve">, </w:t>
      </w:r>
      <w:r>
        <w:rPr>
          <w:rtl w:val="true"/>
        </w:rPr>
        <w:t>ואת חרטתו המוצהרת בגין מעשיו אלה</w:t>
      </w:r>
      <w:r>
        <w:rPr>
          <w:rtl w:val="true"/>
        </w:rPr>
        <w:t xml:space="preserve">, </w:t>
      </w:r>
      <w:r>
        <w:rPr>
          <w:rtl w:val="true"/>
        </w:rPr>
        <w:t>כמו גם את נסיבותיהן של העבירות כפי שהובאו לעיל ותוך שהוא מדגיש את מצבה הבריאותי הרעוע של אם הנאשם הנזקקת לטיפול רפואי מסיבי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 להסתפק בעונש מקל בהרבה מזו שדורשת המאשימה</w:t>
      </w:r>
      <w:r>
        <w:rPr>
          <w:rtl w:val="true"/>
        </w:rPr>
        <w:t xml:space="preserve">, </w:t>
      </w:r>
      <w:r>
        <w:rPr>
          <w:rtl w:val="true"/>
        </w:rPr>
        <w:t>עד כדי שהמתחם הראוי בעבירת הנשק צריך שיעמוד על מספר חודשי מאסר בפועל ועד לעשרה חודשי מאסר</w:t>
      </w:r>
      <w:r>
        <w:rPr>
          <w:rtl w:val="true"/>
        </w:rPr>
        <w:t xml:space="preserve">, </w:t>
      </w:r>
      <w:r>
        <w:rPr>
          <w:rtl w:val="true"/>
        </w:rPr>
        <w:t>ובשל עבירת תקיפת השוטרים העונש המתאים צריך שיעמוד על שלושה חודשי מאסר ויום אחד</w:t>
      </w:r>
      <w:r>
        <w:rPr>
          <w:rtl w:val="true"/>
        </w:rPr>
        <w:t xml:space="preserve">, </w:t>
      </w:r>
      <w:r>
        <w:rPr>
          <w:rtl w:val="true"/>
        </w:rPr>
        <w:t>אשר משקף את רמת הענישה בעבירות מעין 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תסקיר שירות המבחן</w:t>
      </w:r>
      <w:r>
        <w:rPr>
          <w:rtl w:val="true"/>
        </w:rPr>
        <w:t xml:space="preserve"> מלמדנו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יליד הארץ ותושב שועפט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ילדותו ונערותו תקינים ונורמטיביים</w:t>
      </w:r>
      <w:r>
        <w:rPr>
          <w:rtl w:val="true"/>
        </w:rPr>
        <w:t xml:space="preserve">, </w:t>
      </w:r>
      <w:r>
        <w:rPr>
          <w:rtl w:val="true"/>
        </w:rPr>
        <w:t>כמו גם משפחת מוצאו</w:t>
      </w:r>
      <w:r>
        <w:rPr>
          <w:rtl w:val="true"/>
        </w:rPr>
        <w:t xml:space="preserve">, </w:t>
      </w:r>
      <w:r>
        <w:rPr>
          <w:rtl w:val="true"/>
        </w:rPr>
        <w:t xml:space="preserve">אולם מאז היותו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 הוא משתמש בחשיש על בסיס מזדמן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נוטל אחריות על מעשיו</w:t>
      </w:r>
      <w:r>
        <w:rPr>
          <w:rtl w:val="true"/>
        </w:rPr>
        <w:t xml:space="preserve">, </w:t>
      </w:r>
      <w:r>
        <w:rPr>
          <w:rtl w:val="true"/>
        </w:rPr>
        <w:t>מבין את חומרתם</w:t>
      </w:r>
      <w:r>
        <w:rPr>
          <w:rtl w:val="true"/>
        </w:rPr>
        <w:t xml:space="preserve">, </w:t>
      </w:r>
      <w:r>
        <w:rPr>
          <w:rtl w:val="true"/>
        </w:rPr>
        <w:t xml:space="preserve">אך קצינת המבחן מתרשמת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ביצע את העבירות הנדונות מתוך מניע אידאולוגי ומתוך השתייכות חברתית וקושי להפר את הקוד החברתי הנהוג בסביבתו</w:t>
      </w:r>
      <w:r>
        <w:rPr>
          <w:b/>
          <w:bCs/>
          <w:rtl w:val="true"/>
        </w:rPr>
        <w:t>...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כל אלו</w:t>
      </w:r>
      <w:r>
        <w:rPr>
          <w:rtl w:val="true"/>
        </w:rPr>
        <w:t xml:space="preserve">, </w:t>
      </w:r>
      <w:r>
        <w:rPr>
          <w:rtl w:val="true"/>
        </w:rPr>
        <w:t xml:space="preserve">ממליץ קצין המבחן על </w:t>
      </w:r>
      <w:r>
        <w:rPr>
          <w:rtl w:val="true"/>
        </w:rPr>
        <w:t>"</w:t>
      </w:r>
      <w:r>
        <w:rPr>
          <w:b/>
          <w:b/>
          <w:bCs/>
          <w:rtl w:val="true"/>
        </w:rPr>
        <w:t>ענישה מוחשית ומרתיעה של מאסר בפועל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בדברו האחרון</w:t>
      </w:r>
      <w:r>
        <w:rPr>
          <w:rtl w:val="true"/>
        </w:rPr>
        <w:t xml:space="preserve">, </w:t>
      </w:r>
      <w:r>
        <w:rPr>
          <w:rtl w:val="true"/>
        </w:rPr>
        <w:t>ביקש לתמוך בדברי בא כוחו ולא הוסיף דבר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הענישה ההולם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תת מקלע</w:t>
      </w:r>
      <w:r>
        <w:rPr>
          <w:rtl w:val="true"/>
        </w:rPr>
        <w:t xml:space="preserve">, </w:t>
      </w:r>
      <w:r>
        <w:rPr>
          <w:rtl w:val="true"/>
        </w:rPr>
        <w:t>כמו גם כלי נשק בכלל הינם חפצים שפגיעתם רעה ופוטנציאל הנזק הטמון בהם הינו גבוה ומשמעותי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בצוק העיתים קבע המחוקק תבחינים ברורים ומדודים</w:t>
      </w:r>
      <w:r>
        <w:rPr>
          <w:rtl w:val="true"/>
        </w:rPr>
        <w:t xml:space="preserve">, </w:t>
      </w:r>
      <w:r>
        <w:rPr>
          <w:rtl w:val="true"/>
        </w:rPr>
        <w:t>אשר העומד בהם זכאי להגיש בקשה לקבלת רישיון לנשק</w:t>
      </w:r>
      <w:r>
        <w:rPr>
          <w:rtl w:val="true"/>
        </w:rPr>
        <w:t xml:space="preserve">, </w:t>
      </w:r>
      <w:r>
        <w:rPr>
          <w:rtl w:val="true"/>
        </w:rPr>
        <w:t>אשר תישקל ותיענה בהתאם</w:t>
      </w:r>
      <w:r>
        <w:rPr>
          <w:rtl w:val="true"/>
        </w:rPr>
        <w:t xml:space="preserve">. </w:t>
      </w:r>
      <w:r>
        <w:rPr>
          <w:rtl w:val="true"/>
        </w:rPr>
        <w:t>זו הדרך בה בחר במחוקק לאזן בין צרכי הביטחון</w:t>
      </w:r>
      <w:r>
        <w:rPr>
          <w:rtl w:val="true"/>
        </w:rPr>
        <w:t xml:space="preserve">, </w:t>
      </w:r>
      <w:r>
        <w:rPr>
          <w:rtl w:val="true"/>
        </w:rPr>
        <w:t>האישי והלאומי</w:t>
      </w:r>
      <w:r>
        <w:rPr>
          <w:rtl w:val="true"/>
        </w:rPr>
        <w:t xml:space="preserve">, </w:t>
      </w:r>
      <w:r>
        <w:rPr>
          <w:rtl w:val="true"/>
        </w:rPr>
        <w:t>לבין הסכנה הטמונה בכלי הנשק מטבע בריאתם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פעל באופן אקטיבי</w:t>
      </w:r>
      <w:r>
        <w:rPr>
          <w:rtl w:val="true"/>
        </w:rPr>
        <w:t xml:space="preserve">, </w:t>
      </w:r>
      <w:r>
        <w:rPr>
          <w:rtl w:val="true"/>
        </w:rPr>
        <w:t>רכש את כלי הנשק המאולתר ותחמושת מתאימה</w:t>
      </w:r>
      <w:r>
        <w:rPr>
          <w:rtl w:val="true"/>
        </w:rPr>
        <w:t xml:space="preserve">, </w:t>
      </w:r>
      <w:r>
        <w:rPr>
          <w:rtl w:val="true"/>
        </w:rPr>
        <w:t>ואף השתמש בו מספר פעמים</w:t>
      </w:r>
      <w:r>
        <w:rPr>
          <w:rtl w:val="true"/>
        </w:rPr>
        <w:t xml:space="preserve">, </w:t>
      </w:r>
      <w:r>
        <w:rPr>
          <w:rtl w:val="true"/>
        </w:rPr>
        <w:t>כפי שתואר לעיל</w:t>
      </w:r>
      <w:r>
        <w:rPr>
          <w:rtl w:val="true"/>
        </w:rPr>
        <w:t xml:space="preserve">. </w:t>
      </w:r>
      <w:r>
        <w:rPr>
          <w:rtl w:val="true"/>
        </w:rPr>
        <w:t xml:space="preserve">אני מתקשה לראות בטענתו כאילו הנשק נרכש לצורך </w:t>
      </w:r>
      <w:r>
        <w:rPr>
          <w:rtl w:val="true"/>
        </w:rPr>
        <w:t>"</w:t>
      </w:r>
      <w:r>
        <w:rPr>
          <w:rtl w:val="true"/>
        </w:rPr>
        <w:t>סכסוך חמולות</w:t>
      </w:r>
      <w:r>
        <w:rPr>
          <w:rtl w:val="true"/>
        </w:rPr>
        <w:t xml:space="preserve">" </w:t>
      </w:r>
      <w:r>
        <w:rPr>
          <w:rtl w:val="true"/>
        </w:rPr>
        <w:t>כטענה שיש בה להקל 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סכסוכים אין פותרים בשימוש בנשק מאולתר</w:t>
      </w:r>
      <w:r>
        <w:rPr>
          <w:rtl w:val="true"/>
        </w:rPr>
        <w:t xml:space="preserve">. </w:t>
      </w:r>
      <w:r>
        <w:rPr>
          <w:rtl w:val="true"/>
        </w:rPr>
        <w:t>סכסוכים פותרים בהידברות או באמצעות 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>שקלתי את טיעוני הצדדים</w:t>
      </w:r>
      <w:r>
        <w:rPr>
          <w:rtl w:val="true"/>
        </w:rPr>
        <w:t xml:space="preserve">, </w:t>
      </w:r>
      <w:r>
        <w:rPr>
          <w:rtl w:val="true"/>
        </w:rPr>
        <w:t>את מידת אשמו של הנאשם ואת הפגיעה בערך המוגן</w:t>
      </w:r>
      <w:r>
        <w:rPr>
          <w:rtl w:val="true"/>
        </w:rPr>
        <w:t xml:space="preserve">, </w:t>
      </w:r>
      <w:r>
        <w:rPr>
          <w:rtl w:val="true"/>
        </w:rPr>
        <w:t xml:space="preserve">ונדמה כי מתחם הענישה ההולם על עבירת הנשק המתוארת לעיל הינה </w:t>
      </w:r>
      <w:r>
        <w:rPr>
          <w:b/>
          <w:b/>
          <w:bCs/>
          <w:rtl w:val="true"/>
        </w:rPr>
        <w:t>מאסר בן מספר חודשים ועד לשנת מאסר  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ובאשר לעבירת תקיפת השוטרים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תמים דעים אני עם גישתו של ב</w:t>
      </w:r>
      <w:r>
        <w:rPr>
          <w:rtl w:val="true"/>
        </w:rPr>
        <w:t>"</w:t>
      </w:r>
      <w:r>
        <w:rPr>
          <w:rtl w:val="true"/>
        </w:rPr>
        <w:t>כ המאשימה לפיה התפרעות בכלל</w:t>
      </w:r>
      <w:r>
        <w:rPr>
          <w:rtl w:val="true"/>
        </w:rPr>
        <w:t xml:space="preserve">, </w:t>
      </w:r>
      <w:r>
        <w:rPr>
          <w:rtl w:val="true"/>
        </w:rPr>
        <w:t>והתפרעות בירושלים הבירה בפרט</w:t>
      </w:r>
      <w:r>
        <w:rPr>
          <w:rtl w:val="true"/>
        </w:rPr>
        <w:t xml:space="preserve">, </w:t>
      </w:r>
      <w:r>
        <w:rPr>
          <w:rtl w:val="true"/>
        </w:rPr>
        <w:t>היא עבירה נפוצה שיש למנוע את התרחשותה ככל שניתן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הערך המוגן הוא ברור ומובהק</w:t>
      </w:r>
      <w:r>
        <w:rPr>
          <w:rtl w:val="true"/>
        </w:rPr>
        <w:t xml:space="preserve">. </w:t>
      </w:r>
      <w:r>
        <w:rPr>
          <w:rtl w:val="true"/>
        </w:rPr>
        <w:t>במקום ציבורי לא תהא התפרעות</w:t>
      </w:r>
      <w:r>
        <w:rPr>
          <w:rtl w:val="true"/>
        </w:rPr>
        <w:t xml:space="preserve">. </w:t>
      </w:r>
      <w:r>
        <w:rPr>
          <w:rtl w:val="true"/>
        </w:rPr>
        <w:t>נסיבות ביצוע העבירות בה נטל הנאשם חלק</w:t>
      </w:r>
      <w:r>
        <w:rPr>
          <w:rtl w:val="true"/>
        </w:rPr>
        <w:t xml:space="preserve">, </w:t>
      </w:r>
      <w:r>
        <w:rPr>
          <w:rtl w:val="true"/>
        </w:rPr>
        <w:t>אף הן מחמירות</w:t>
      </w:r>
      <w:r>
        <w:rPr>
          <w:rtl w:val="true"/>
        </w:rPr>
        <w:t xml:space="preserve">. </w:t>
      </w:r>
      <w:r>
        <w:rPr>
          <w:rtl w:val="true"/>
        </w:rPr>
        <w:t>הנאשם לא הסתפק בעמידה במקום</w:t>
      </w:r>
      <w:r>
        <w:rPr>
          <w:rtl w:val="true"/>
        </w:rPr>
        <w:t xml:space="preserve">, </w:t>
      </w:r>
      <w:r>
        <w:rPr>
          <w:rtl w:val="true"/>
        </w:rPr>
        <w:t>אלא אף יידה אבנים לעבר השוטרים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השוטרים הינם שליחים העושים את מלאכתם הקשה באופן נאמן ורציני</w:t>
      </w:r>
      <w:r>
        <w:rPr>
          <w:rtl w:val="true"/>
        </w:rPr>
        <w:t xml:space="preserve">, </w:t>
      </w:r>
      <w:r>
        <w:rPr>
          <w:rtl w:val="true"/>
        </w:rPr>
        <w:t>ואין לתת יד לכל ניסיון פגיעה בהם</w:t>
      </w:r>
      <w:r>
        <w:rPr>
          <w:rtl w:val="true"/>
        </w:rPr>
        <w:t xml:space="preserve">, </w:t>
      </w:r>
      <w:r>
        <w:rPr>
          <w:rtl w:val="true"/>
        </w:rPr>
        <w:t>מילוי או פיזי</w:t>
      </w:r>
      <w:r>
        <w:rPr>
          <w:rtl w:val="true"/>
        </w:rPr>
        <w:t xml:space="preserve">, </w:t>
      </w:r>
      <w:r>
        <w:rPr>
          <w:rtl w:val="true"/>
        </w:rPr>
        <w:t>גם בנסיבות בהם נראה כי פעולתם אינה מוצדקת או אינה ראוייה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בשל כל אלו</w:t>
      </w:r>
      <w:r>
        <w:rPr>
          <w:rtl w:val="true"/>
        </w:rPr>
        <w:t xml:space="preserve">, </w:t>
      </w:r>
      <w:r>
        <w:rPr>
          <w:rtl w:val="true"/>
        </w:rPr>
        <w:t xml:space="preserve">נדמה כי מתחם הענישה ההולם על כל </w:t>
      </w:r>
      <w:r>
        <w:rPr>
          <w:rtl w:val="true"/>
        </w:rPr>
        <w:t>"</w:t>
      </w:r>
      <w:r>
        <w:rPr>
          <w:rtl w:val="true"/>
        </w:rPr>
        <w:t>חבילת</w:t>
      </w:r>
      <w:r>
        <w:rPr>
          <w:rtl w:val="true"/>
        </w:rPr>
        <w:t xml:space="preserve">" </w:t>
      </w:r>
      <w:r>
        <w:rPr>
          <w:rtl w:val="true"/>
        </w:rPr>
        <w:t xml:space="preserve">העבירות צריך שיעמוד על </w:t>
      </w:r>
      <w:r>
        <w:rPr>
          <w:b/>
          <w:b/>
          <w:bCs/>
          <w:rtl w:val="true"/>
        </w:rPr>
        <w:t xml:space="preserve">מאסר בפועל בן שלושה חודשים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יחד עם מאסר מותנה מרתיע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ועד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נדמה לי</w:t>
      </w:r>
      <w:r>
        <w:rPr>
          <w:rtl w:val="true"/>
        </w:rPr>
        <w:t xml:space="preserve">, </w:t>
      </w:r>
      <w:r>
        <w:rPr>
          <w:rtl w:val="true"/>
        </w:rPr>
        <w:t>כי על אף שאין מדובר בעבירה כלכלית</w:t>
      </w:r>
      <w:r>
        <w:rPr>
          <w:rtl w:val="true"/>
        </w:rPr>
        <w:t xml:space="preserve">, </w:t>
      </w:r>
      <w:r>
        <w:rPr>
          <w:rtl w:val="true"/>
        </w:rPr>
        <w:t>הרי שענישה כלכלית יש בה כדי ליצור ממד נוסף של הרתעה וכן להביע את שאט הנפש מתופעות אלו הקורות חדשות לבקרים בירושלים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אני סבור כי יש להוסיף למתחם הענישה ההולם נדבך נוסף בצורתו של קנס</w:t>
      </w:r>
      <w:r>
        <w:rPr>
          <w:rtl w:val="true"/>
        </w:rPr>
        <w:t xml:space="preserve">, </w:t>
      </w:r>
      <w:r>
        <w:rPr>
          <w:rtl w:val="true"/>
        </w:rPr>
        <w:t>וכך אעשה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עד כאן 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ומכאן ואילך – 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עושה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 המתאים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יליד שנת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ועברו נקי ונטול הרשעות קודמות</w:t>
      </w:r>
      <w:r>
        <w:rPr>
          <w:rtl w:val="true"/>
        </w:rPr>
        <w:t xml:space="preserve">. </w:t>
      </w:r>
      <w:r>
        <w:rPr>
          <w:rtl w:val="true"/>
        </w:rPr>
        <w:t>אורח חייו נורמטיבי ויצרני</w:t>
      </w:r>
      <w:r>
        <w:rPr>
          <w:rtl w:val="true"/>
        </w:rPr>
        <w:t xml:space="preserve">, </w:t>
      </w:r>
      <w:r>
        <w:rPr>
          <w:rtl w:val="true"/>
        </w:rPr>
        <w:t>והמניע לבצוע העבירות המיוחסות לו הוא אידאולוגי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אזקוף את 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את סדרתיותן של העבירות שביצע ואת אופיין ה</w:t>
      </w:r>
      <w:r>
        <w:rPr>
          <w:rtl w:val="true"/>
        </w:rPr>
        <w:t>"</w:t>
      </w:r>
      <w:r>
        <w:rPr>
          <w:rtl w:val="true"/>
        </w:rPr>
        <w:t>מעין בטחוני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אשקול את מצבו הכללי והמשפחתי של הנאשם</w:t>
      </w:r>
      <w:r>
        <w:rPr>
          <w:rtl w:val="true"/>
        </w:rPr>
        <w:t xml:space="preserve">, </w:t>
      </w:r>
      <w:r>
        <w:rPr>
          <w:rtl w:val="true"/>
        </w:rPr>
        <w:t>וכן את עברו הנקי כמו גם הודאתו במעשיו ולקיחת האחריות הכרוכה בהם</w:t>
      </w:r>
      <w:r>
        <w:rPr>
          <w:rtl w:val="true"/>
        </w:rPr>
        <w:t xml:space="preserve">, 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נתוניו האישיים</w:t>
      </w:r>
      <w:r>
        <w:rPr>
          <w:rtl w:val="true"/>
        </w:rPr>
        <w:t xml:space="preserve">, </w:t>
      </w:r>
      <w:r>
        <w:rPr>
          <w:rtl w:val="true"/>
        </w:rPr>
        <w:t xml:space="preserve">עברו </w:t>
      </w:r>
      <w:r>
        <w:rPr>
          <w:rtl w:val="true"/>
        </w:rPr>
        <w:t xml:space="preserve">, </w:t>
      </w:r>
      <w:r>
        <w:rPr>
          <w:rtl w:val="true"/>
        </w:rPr>
        <w:t>חרטתו הכנה שהובעה בפניי</w:t>
      </w:r>
      <w:r>
        <w:rPr>
          <w:rtl w:val="true"/>
        </w:rPr>
        <w:t xml:space="preserve">, </w:t>
      </w:r>
      <w:r>
        <w:rPr>
          <w:rtl w:val="true"/>
        </w:rPr>
        <w:t>והרקע לביצוע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העונש המתאים מצוי בחלקו </w:t>
      </w:r>
      <w:r>
        <w:rPr>
          <w:b/>
          <w:b/>
          <w:bCs/>
          <w:rtl w:val="true"/>
        </w:rPr>
        <w:t>התחתון</w:t>
      </w:r>
      <w:r>
        <w:rPr>
          <w:rtl w:val="true"/>
        </w:rPr>
        <w:t xml:space="preserve"> של המתחמים שצוינו לעיל תוך צבירתם כפי שיתואר 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 על כן 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65" w:start="825" w:end="0"/>
        <w:jc w:val="start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שנים עשר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 מאסר בפועל לריצוי ממש בניכוי ימי 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465" w:start="825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חמישה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 מאסר אשר לא ירוצו אלא אם יעבור הנאשם על העבירות בהן הורשע תוך שלוש שנים מיום שחרורו ממאסרו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465" w:start="825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עד ליום </w:t>
      </w:r>
      <w:r>
        <w:rPr>
          <w:b/>
          <w:bCs/>
        </w:rPr>
        <w:t>1.3.16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65" w:start="825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התחייבות בסך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שלא לעבור על העבירות בהן הורשע תוך שנתיים מיום מתן גזר הדין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לא יחתום הנאשם על התחייבות זו – ייאסר למשך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465" w:start="825" w:end="0"/>
        <w:jc w:val="start"/>
        <w:rPr>
          <w:b/>
          <w:bCs/>
        </w:rPr>
      </w:pPr>
      <w:r>
        <w:rPr>
          <w:b/>
          <w:b/>
          <w:bCs/>
          <w:rtl w:val="true"/>
        </w:rPr>
        <w:t>כלי הנשק והתחמושת יחולטו לטובת המדינה או 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825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rtl w:val="true"/>
        </w:rPr>
        <w:t xml:space="preserve">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סיוון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20/05/2015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שמואל הרבסט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שמואל הרבסט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27128-11-14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מחמד גולאני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4.1" TargetMode="External"/><Relationship Id="rId6" Type="http://schemas.openxmlformats.org/officeDocument/2006/relationships/hyperlink" Target="http://www.nevo.co.il/law/70301/274.2" TargetMode="External"/><Relationship Id="rId7" Type="http://schemas.openxmlformats.org/officeDocument/2006/relationships/hyperlink" Target="http://www.nevo.co.il/law/70301/274.3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274.1" TargetMode="External"/><Relationship Id="rId12" Type="http://schemas.openxmlformats.org/officeDocument/2006/relationships/hyperlink" Target="http://www.nevo.co.il/law/70301/274.2" TargetMode="External"/><Relationship Id="rId13" Type="http://schemas.openxmlformats.org/officeDocument/2006/relationships/hyperlink" Target="http://www.nevo.co.il/law/70301/274.3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2015-05-26T12:23:00Z</dcterms:created>
  <dc:creator> </dc:creator>
  <dc:description/>
  <cp:keywords/>
  <dc:language>en-IL</dc:language>
  <cp:lastModifiedBy>hofit</cp:lastModifiedBy>
  <dcterms:modified xsi:type="dcterms:W3CDTF">2015-05-26T12:23:00Z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גולאני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ProcID=235&amp;PartA=12&amp;PartC=24</vt:lpwstr>
  </property>
  <property fmtid="{D5CDD505-2E9C-101B-9397-08002B2CF9AE}" pid="9" name="CITY">
    <vt:lpwstr>י-ם</vt:lpwstr>
  </property>
  <property fmtid="{D5CDD505-2E9C-101B-9397-08002B2CF9AE}" pid="10" name="DATE">
    <vt:lpwstr>20150520</vt:lpwstr>
  </property>
  <property fmtid="{D5CDD505-2E9C-101B-9397-08002B2CF9AE}" pid="11" name="DELEMATA">
    <vt:lpwstr/>
  </property>
  <property fmtid="{D5CDD505-2E9C-101B-9397-08002B2CF9AE}" pid="12" name="JUDGE">
    <vt:lpwstr>שמואל הרבסט</vt:lpwstr>
  </property>
  <property fmtid="{D5CDD505-2E9C-101B-9397-08002B2CF9AE}" pid="13" name="LAWLISTTMP1">
    <vt:lpwstr>70301/144.a;340a;274.1;274.2;274.3;025</vt:lpwstr>
  </property>
  <property fmtid="{D5CDD505-2E9C-101B-9397-08002B2CF9AE}" pid="14" name="LAWYER">
    <vt:lpwstr>נתי בן חמו;מוחמד מחמוד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27128</vt:lpwstr>
  </property>
  <property fmtid="{D5CDD505-2E9C-101B-9397-08002B2CF9AE}" pid="21" name="NEWPARTB">
    <vt:lpwstr>11</vt:lpwstr>
  </property>
  <property fmtid="{D5CDD505-2E9C-101B-9397-08002B2CF9AE}" pid="22" name="NEWPARTC">
    <vt:lpwstr>14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380020150520</vt:lpwstr>
  </property>
  <property fmtid="{D5CDD505-2E9C-101B-9397-08002B2CF9AE}" pid="33" name="TYPE_N_DATE">
    <vt:lpwstr>38020150520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