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27179-12-23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אבו גויעד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620"/>
        <w:gridCol w:w="62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</w:tc>
      </w:tr>
      <w:tr>
        <w:trPr>
          <w:trHeight w:val="355" w:hRule="atLeast"/>
        </w:trPr>
        <w:tc>
          <w:tcPr>
            <w:tcW w:w="254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27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גיורא חזן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2543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6277" w:type="dxa"/>
            <w:tcBorders/>
            <w:vAlign w:val="center"/>
          </w:tcPr>
          <w:p>
            <w:pPr>
              <w:pStyle w:val="Normal"/>
              <w:suppressLineNumbers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מואיד אבו גויעד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נועם אליגון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אישורו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וירוצו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ואלמלא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ויראו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הזיהוי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ואיזנה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וסיכויי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ובהתאם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תמורתו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6"/>
          <w:szCs w:val="26"/>
        </w:rPr>
      </w:pPr>
      <w:r>
        <w:rPr>
          <w:rFonts w:cs="FrankRuehl"/>
          <w:sz w:val="26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אישום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בירי מנשק חם – עבירה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12.10.23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הנאשם יחד עם אדם נוסף אשר זהותו אינה ידועה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לשטח הררי פתוח באזור דימונה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והאחר טיפסו על הר במקום ובסמוך להגעתם לנקודה מסוימת 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הנאשם מנשק חם שלא כדין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עתרו הצדדים להשית עליו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שיכול וירוצו בדרך של עבודות שירות ככל שהנאשם ימצא מתאים לכך על ידי הממונה על עבודות השירות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 על תנאי בגין עבירות נשק ואלימות מסוג פשע ועוון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משכו של המאסר ויתר תנאיו ייקבעו על ידי בית המשפט על פי שיקול דעתו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קנס שגובהו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שמיעת הטיעונים לעונש התבקש הממונה על עבודות השירות להגיש חוות דעת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בהתאם לחוות דעת הממונה מיום </w:t>
      </w:r>
      <w:r>
        <w:rPr>
          <w:rFonts w:cs="David" w:ascii="David" w:hAnsi="David"/>
        </w:rPr>
        <w:t>09.10.24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 הנאשם מתאים לביצוע עונש המאסר בדרך של עבודות שירות במרכז הגריאטרי אורפז בבאר שבע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הצדדים לא הגישו ראיות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עתרה לכיבוד הסדר הטיעון אשר הושג לאחר מספר פגישות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והפנתה לתיקון המשמעותי שבוצע בכתב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 כי הנאשם צעיר ללא עבר פלילי וזוהי לו ההסתבכות הראשונה עם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כי רכיב המאסר המקל שבהסדר הטיעון מקורו בקושי ראייתי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במכלול השיקולים הסדר הטיעון סביר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לרכיב הקנס טענה המאשימה כי גובה הקנס שיוטל על הנאשם צריך לאזן את יתר רכיבי הענישה שבהסדר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הנאשם </w:t>
      </w:r>
      <w:r>
        <w:rPr>
          <w:rFonts w:ascii="David" w:hAnsi="David"/>
          <w:rtl w:val="true"/>
        </w:rPr>
        <w:t>ביקש לכבד את הסדר הטיעון והדגיש כי הסדר הטיעון התקבל לאחר פגישות ודיון גישור בפני כבוד הנשיאה דאז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נשען על כשלים ראייתיים משמעותיים ובכלל זה קושי בזיהויו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הסניגור הוסיף כי הנאשם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 קודם וביקש כי גובה הקנס יעמוד בהלימה לקושי הראייתי ולמצבו הכלכלי של 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 ביקש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להתחשב בתקופה בה שהה הנאשם מאחורי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16.11.23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ליום </w:t>
      </w:r>
      <w:r>
        <w:rPr>
          <w:rFonts w:cs="David" w:ascii="David" w:hAnsi="David"/>
        </w:rPr>
        <w:t>22.12.23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ולתקופה הממושכת בה שהה במעצר 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שהוא מצטער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ולשאלת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הוסיף כי נשוי ואב לילד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על פי הודאתו בעבירה של ירי מנשק 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בביצוע העבירה בה הורשע פגע הנאשם בערכים המוגנים של קדושת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 ושלוותו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הגם שהירי בוצע בשטח הררי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שטמן בתוכו פוטנציאל לפגיעה בעוברי אורח כדוגמת מטיילים בנגב והרי הדרום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יתרה מזו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גם אם אינו מסתיים בנפגעים וגם אם נעשה בשטח פתוח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גורם מן הסתם לתחושת בהלה ופחד לעוברי אורח תמימים למשמע קולות הירי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נסיבות ביצוע העבירה ממחישות את הקלות הבלתי נסבלת בניצול לרעה של מרחבי הנגב לטובת ירי פרעי כאילו אין דין ואין דיין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נתתי דעתי לעובדה כי כתב האישום המתוקן לקוני ואינו כולל בתוכו פרטים רלוונטיים לנסיבות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ובכללם סוג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ארוך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ומיקום מדויק של הירי תוך התייחסות לקרבה לישובים או מסלולי מטיילים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עונשו של הנאשם התחשבתי 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בדברי החרטה שהשמיע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בגילו הצעיר ובהעדר עבר פלילי קודם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אין ספק כי הסדר הטיעון מקל מאוד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ואלמלא ההסדר היה מקום לגזור עליו עונש של מאסר מאחורי סורג ובריח למען יראו ויראו וכדי שיעמוד בהלימה לחומרת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להתעלם מדברי באי כוח הצדדים כי הסדר הטיעון משקף קשיים ראייתיים משמעותיים בדגש על סוגיית הזיהוי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ולעניין זה יפים דברי בית המשפט </w:t>
      </w:r>
      <w:hyperlink r:id="rId8">
        <w:r>
          <w:rPr>
            <w:rStyle w:val="Hyperlink"/>
            <w:rFonts w:ascii="David" w:hAnsi="David"/>
            <w:b/>
            <w:b/>
            <w:bCs/>
            <w:rtl w:val="true"/>
          </w:rPr>
          <w:t>בפ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ח 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מחוזי תל</w:t>
        </w:r>
        <w:r>
          <w:rPr>
            <w:rStyle w:val="Hyperlink"/>
            <w:rFonts w:cs="David" w:ascii="David" w:hAnsi="David"/>
            <w:b/>
            <w:bCs/>
            <w:rtl w:val="true"/>
          </w:rPr>
          <w:t>-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אביב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</w:rPr>
          <w:t>1151/03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בן יהודה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נבו</w:t>
      </w:r>
      <w:r>
        <w:rPr>
          <w:rFonts w:cs="David" w:ascii="David" w:hAnsi="David"/>
          <w:b/>
          <w:bCs/>
          <w:rtl w:val="true"/>
        </w:rPr>
        <w:t xml:space="preserve">], </w:t>
      </w:r>
      <w:r>
        <w:rPr>
          <w:rFonts w:cs="David" w:ascii="David" w:hAnsi="David"/>
          <w:b/>
          <w:bCs/>
        </w:rPr>
        <w:t>20.1.05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1643" w:end="1418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בבואנו לאשר הסדר טיעון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שבו העונש שהצדדים מבקשים שנטיל קל לאין שיעור מהעונש הראוי לעבירות שביצעו הנאשמים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עומדת לפנינו ההלכה של בית המשפט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לפיה בהסדר מסוג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שנסמך על קשיים ראייתיים כבדים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שניצבו בפני התביעה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יש מקום לאשרו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אם מדובר ברף ענישה נמוך</w:t>
      </w:r>
      <w:r>
        <w:rPr>
          <w:rFonts w:cs="David" w:ascii="David" w:hAnsi="David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משבית המשפט לא נחשף לחומר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חזקה כי המדינה בחנה את חומר הראיות ואיזנה כראוי בין האינטרסים השונים ובכלל זה האינטרס הציבורי וסיכויי ההרשעה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ברי כי בנסיבות העניין ובבחינת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קולתו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משמעותי לעקרון ההסתמכות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ששמעתי טיעוני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הצדדים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בלי 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לחרוג מהסדר הטיעון בהינתן מדיניות בתי המשפט הנוגעת לכיבוד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  ובעיקר משהובהר כאמור כי מקורו בקשיים ראייתיים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האמור מצאתי להחמיר ברכיב המאסר המותנה וזאת כדי להרתיע הנאשם מביצוע עבירות דומות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להטיל על הנאשם קנס כספי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 במרכז הגריאטרי אורפז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רחוב רד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ק 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בבאר שבע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21.11.24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במשרדי הממונה על עבודות השירות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יחידת ברקאי –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שלוחה דרום – סמוך לכלא באר שבע לצורך קליטה והצבה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הובהר לנאשם  כי במסגרת עבודות השירות ובהתאם לחוות דעת הממונה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יועסק חמישה ימים בשבוע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טווח השעות המתאפשר 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יתכנו שינויים במקום העבודה ושעות העבודה והכל בהתאם להנחיות הממונה על עבודות השירות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מובהרת לנאשם המשמעות של אי עמידה בעבודות השירות אשר יכול ותביא להפסקת ריצוי העונש בדרך של עבודות שירות ונשיאת יתרת העונש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340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 או עבירה בנשק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 על חלופותיו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שנתיים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אלימות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שנתיים מהיום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אלימות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הקנס ישולם לא יאוחר מיום </w:t>
      </w:r>
      <w:r>
        <w:rPr>
          <w:rFonts w:cs="David" w:ascii="David" w:hAnsi="David"/>
        </w:rPr>
        <w:t>01.02.25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בכרטיס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אשראי</w:t>
      </w:r>
      <w:r>
        <w:rPr>
          <w:rFonts w:ascii="David" w:hAnsi="David" w:cs="David"/>
          <w:rtl w:val="true"/>
        </w:rPr>
        <w:t xml:space="preserve"> – </w:t>
      </w:r>
      <w:r>
        <w:rPr>
          <w:rFonts w:ascii="David" w:hAnsi="David" w:cs="Times New Roman"/>
          <w:rtl w:val="true"/>
        </w:rPr>
        <w:t>באתר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המקוון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של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רשות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האכיפה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והגבייה</w:t>
      </w:r>
      <w:r>
        <w:rPr>
          <w:rFonts w:cs="David" w:ascii="David" w:hAnsi="David"/>
          <w:rtl w:val="true"/>
        </w:rPr>
        <w:t xml:space="preserve">, </w:t>
      </w:r>
      <w:hyperlink r:id="rId13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Times New Roman" w:ascii="David" w:hAnsi="David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מוקד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שירות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טלפוני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בשרות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עצמי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Times New Roman"/>
          <w:b/>
          <w:b/>
          <w:bCs/>
          <w:rtl w:val="true"/>
        </w:rPr>
        <w:t>מרכז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גבייה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Times New Roman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ascii="David" w:hAnsi="David" w:cs="Times New Roman"/>
          <w:b/>
          <w:b/>
          <w:bCs/>
          <w:rtl w:val="true"/>
        </w:rPr>
        <w:t>בטלפון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 w:cs="Times New Roman"/>
          <w:b/>
          <w:b/>
          <w:bCs/>
          <w:rtl w:val="true"/>
        </w:rPr>
        <w:t>או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בטלפון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073-2055000</w:t>
      </w:r>
    </w:p>
    <w:p>
      <w:pPr>
        <w:pStyle w:val="ListParagraph"/>
        <w:numPr>
          <w:ilvl w:val="0"/>
          <w:numId w:val="1"/>
        </w:numPr>
        <w:ind w:hanging="360" w:start="1080" w:end="0"/>
        <w:jc w:val="start"/>
        <w:rPr>
          <w:rFonts w:ascii="David" w:hAnsi="David" w:cs="David"/>
          <w:b/>
          <w:bCs/>
        </w:rPr>
      </w:pPr>
      <w:r>
        <w:rPr>
          <w:rFonts w:ascii="David" w:hAnsi="David" w:cs="Times New Roman"/>
          <w:b/>
          <w:b/>
          <w:bCs/>
          <w:rtl w:val="true"/>
        </w:rPr>
        <w:t>במזומן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בכל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סניף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של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בנק</w:t>
      </w:r>
      <w:r>
        <w:rPr>
          <w:rFonts w:ascii="David" w:hAnsi="David" w:eastAsia="David" w:cs="David"/>
          <w:b/>
          <w:b/>
          <w:bCs/>
          <w:rtl w:val="true"/>
        </w:rPr>
        <w:t xml:space="preserve"> </w:t>
      </w:r>
      <w:r>
        <w:rPr>
          <w:rFonts w:ascii="David" w:hAnsi="David" w:cs="Times New Roman"/>
          <w:b/>
          <w:b/>
          <w:bCs/>
          <w:rtl w:val="true"/>
        </w:rPr>
        <w:t>הדואר</w:t>
      </w:r>
      <w:r>
        <w:rPr>
          <w:rFonts w:ascii="David" w:hAnsi="David" w:cs="David"/>
          <w:rtl w:val="true"/>
        </w:rPr>
        <w:t xml:space="preserve"> – </w:t>
      </w:r>
      <w:r>
        <w:rPr>
          <w:rFonts w:ascii="David" w:hAnsi="David" w:cs="Times New Roman"/>
          <w:rtl w:val="true"/>
        </w:rPr>
        <w:t>בהצגת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תעודת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זהות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בלבד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Times New Roman"/>
          <w:rtl w:val="true"/>
        </w:rPr>
        <w:t>אין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צורך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בשוברי</w:t>
      </w:r>
      <w:r>
        <w:rPr>
          <w:rFonts w:ascii="David" w:hAnsi="David" w:eastAsia="David" w:cs="David"/>
          <w:rtl w:val="true"/>
        </w:rPr>
        <w:t xml:space="preserve"> </w:t>
      </w:r>
      <w:r>
        <w:rPr>
          <w:rFonts w:ascii="David" w:hAnsi="David" w:cs="Times New Roman"/>
          <w:rtl w:val="true"/>
        </w:rPr>
        <w:t>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לבית המשפט העליון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27179-12-23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מואיד אבו גויעד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ListParagraphChar">
    <w:name w:val="List Paragraph Char"/>
    <w:qFormat/>
    <w:rPr>
      <w:rFonts w:ascii="Calibri" w:hAnsi="Calibri" w:cs="Calibri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Calibri" w:cs="Calibri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340a.a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%202321344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eca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2024-10-27T13:06:00Z</dcterms:created>
  <dc:creator> </dc:creator>
  <dc:description/>
  <cp:keywords/>
  <dc:language>en-IL</dc:language>
  <cp:lastModifiedBy>orly</cp:lastModifiedBy>
  <dcterms:modified xsi:type="dcterms:W3CDTF">2024-10-27T13:06:00Z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מואיד אבו גויעד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23213441</vt:lpwstr>
  </property>
  <property fmtid="{D5CDD505-2E9C-101B-9397-08002B2CF9AE}" pid="9" name="CITY">
    <vt:lpwstr>ב"ש</vt:lpwstr>
  </property>
  <property fmtid="{D5CDD505-2E9C-101B-9397-08002B2CF9AE}" pid="10" name="DATE">
    <vt:lpwstr>20241015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70301/340a.a;340a;144</vt:lpwstr>
  </property>
  <property fmtid="{D5CDD505-2E9C-101B-9397-08002B2CF9AE}" pid="15" name="LAWYER">
    <vt:lpwstr>גיורא חזן;נועם אליגון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27179</vt:lpwstr>
  </property>
  <property fmtid="{D5CDD505-2E9C-101B-9397-08002B2CF9AE}" pid="23" name="NEWPARTB">
    <vt:lpwstr>12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הסדר טיעון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461;1446</vt:lpwstr>
  </property>
  <property fmtid="{D5CDD505-2E9C-101B-9397-08002B2CF9AE}" pid="48" name="NOSE31">
    <vt:lpwstr>אישורו</vt:lpwstr>
  </property>
  <property fmtid="{D5CDD505-2E9C-101B-9397-08002B2CF9AE}" pid="49" name="NOSE310">
    <vt:lpwstr/>
  </property>
  <property fmtid="{D5CDD505-2E9C-101B-9397-08002B2CF9AE}" pid="50" name="NOSE32">
    <vt:lpwstr>מדיניות ענישה: ירי מנשק חם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3608;</vt:lpwstr>
  </property>
  <property fmtid="{D5CDD505-2E9C-101B-9397-08002B2CF9AE}" pid="59" name="PADIDATE">
    <vt:lpwstr>20241028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390120241015</vt:lpwstr>
  </property>
  <property fmtid="{D5CDD505-2E9C-101B-9397-08002B2CF9AE}" pid="69" name="TYPE_N_DATE">
    <vt:lpwstr>39020241015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