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27330-02-19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טרופימוב 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5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2020</w:t>
            </w:r>
          </w:p>
        </w:tc>
      </w:tr>
    </w:tbl>
    <w:p>
      <w:pPr>
        <w:pStyle w:val="Header"/>
        <w:ind w:end="0"/>
        <w:jc w:val="start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tbl>
      <w:tblPr>
        <w:bidiVisual w:val="true"/>
        <w:tblW w:w="8962" w:type="dxa"/>
        <w:jc w:val="start"/>
        <w:tblInd w:w="58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60"/>
        <w:gridCol w:w="7402"/>
      </w:tblGrid>
      <w:tr>
        <w:trPr/>
        <w:tc>
          <w:tcPr>
            <w:tcW w:w="896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שופט בני שגיא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156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40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ידי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קארי קסה</w:t>
            </w:r>
          </w:p>
        </w:tc>
      </w:tr>
      <w:tr>
        <w:trPr/>
        <w:tc>
          <w:tcPr>
            <w:tcW w:w="896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40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מיכאל טרופימוב ת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ידי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שמואל פלישמן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אלכסנדר טרופימוב ת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xxxxxxxxxx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דמיטרי לוינטנט ת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</w:rPr>
              <w:t>xxxxxxxxxx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קבוע להוכחות בפני מותב אחר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441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26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שעיקרן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ותעבורה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התחזות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משכרים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התשתית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למגוון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שגוררות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ובנפש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הדרגתית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הנגזרים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ובכללן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אמצעי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הלחימה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לבסס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הנסחר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48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</w:rPr>
        <w:t>29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</w:t>
            </w:r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כללי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על יסוד הודאתו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סחר בנשק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יחד עם עבירה לפי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התיק העיקרי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הודה הנאשם בעובדות תיק חקירה נוסף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 </w:t>
      </w:r>
      <w:r>
        <w:rPr>
          <w:rFonts w:cs="David" w:ascii="David" w:hAnsi="David"/>
        </w:rPr>
        <w:t>431353/18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תיק הצירוף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</w:t>
      </w:r>
      <w:r>
        <w:rPr>
          <w:rFonts w:ascii="David" w:hAnsi="David"/>
          <w:rtl w:val="true"/>
        </w:rPr>
        <w:t xml:space="preserve"> הורשע בעבירות של שימוש ברכב ללא 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413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רישא 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התחזות כאדם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441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תחת השפעת משקאות משכרים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David" w:ascii="David" w:hAnsi="David"/>
            <w:color w:val="0000FF"/>
            <w:u w:val="single"/>
          </w:rPr>
          <w:t>26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תקנות התעבורה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ונהיגה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 התעבורה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הנאשם הורשע שלא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כל אחד מהצדדים טען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עונש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מיטב שיקול דעתו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למען השלמת התמונה העובדתית יצוין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 את עניינו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תוקן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וכפועל 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 xml:space="preserve">רק </w:t>
      </w:r>
      <w:r>
        <w:rPr>
          <w:rFonts w:ascii="David" w:hAnsi="David"/>
          <w:rtl w:val="true"/>
        </w:rPr>
        <w:t>בעבירת מתן אמצעים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בהסכמה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</w:t>
      </w:r>
      <w:r>
        <w:rPr>
          <w:rFonts w:ascii="David" w:hAnsi="David"/>
          <w:rtl w:val="true"/>
        </w:rPr>
        <w:t xml:space="preserve">ונש מאסר המשקף את תקופת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5.2.19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26.2.19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רכיבי ענישה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עניינו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כפר באשמתו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לשמיעת ראיות בפני מותב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עובדות התיק העיקרי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</w:t>
      </w:r>
      <w:r>
        <w:rPr>
          <w:rFonts w:ascii="David" w:hAnsi="David"/>
          <w:rtl w:val="true"/>
        </w:rPr>
        <w:t xml:space="preserve"> שהוגש בתיק העיקרי </w:t>
      </w:r>
      <w:r>
        <w:rPr>
          <w:rFonts w:ascii="David" w:hAnsi="David"/>
          <w:rtl w:val="true"/>
        </w:rPr>
        <w:t>מחזיק שני אישומים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בחודש ספטמבר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שוחח הנאשם עם סוכן משטרתי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והציע לאחרון לקנות ממנו 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8.10.18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18:05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הסוכן עם הנאשם ואחיו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שעזב את המקום מיד לאחר מכן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והוצע לו לרכוש אקדח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ברטה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הנאשם ציין כי עלות האקדח היא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אך ביקש מהסוכן שישתדל לתת להם עבורו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שכן מדובר בנשק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נקי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לאחר התכתבויות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הוחלט כי העסקה תתקיים למחרת וכך אכן נעשה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9.10.18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פגש הסוכן בנאשם ובנאשם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שמסר לו את הנשק יחד עם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ובתמורה </w:t>
      </w:r>
      <w:r>
        <w:rPr>
          <w:rFonts w:ascii="David" w:hAnsi="David"/>
          <w:rtl w:val="true"/>
        </w:rPr>
        <w:t xml:space="preserve">שילם הסוכן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שילם הסוכן לנאשם </w:t>
      </w:r>
      <w:r>
        <w:rPr>
          <w:rFonts w:cs="David" w:ascii="David" w:hAnsi="David"/>
        </w:rPr>
        <w:t>6,500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עבור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ו ותרומתו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ושל אחיו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בביצוע העסקה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אישום זה הורשע הנאשם בעבירות של קשירת קשר לביצוע פשע וסחר בנשק בצוותא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>האישום השני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בחודש ינואר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 הנאשם והסוכן לעניין ביצוע עסקאות 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ועסקאות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7.1.19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 הנאשם לסוכן והציע לו לרכוש 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והוסכם על מכירתו תמורת סך של </w:t>
      </w:r>
      <w:r>
        <w:rPr>
          <w:rFonts w:cs="David" w:ascii="David" w:hAnsi="David"/>
        </w:rPr>
        <w:t>350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לאחר מספר שיחות בין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הוחלט כי העסקה תבוצע בצהרי יום </w:t>
      </w:r>
      <w:r>
        <w:rPr>
          <w:rFonts w:cs="David" w:ascii="David" w:hAnsi="David"/>
        </w:rPr>
        <w:t>9.1.19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בנוכחות אחיו </w:t>
      </w:r>
      <w:r>
        <w:rPr>
          <w:rFonts w:ascii="David" w:hAnsi="David"/>
          <w:rtl w:val="true"/>
        </w:rPr>
        <w:t xml:space="preserve">הקטין </w:t>
      </w:r>
      <w:r>
        <w:rPr>
          <w:rFonts w:ascii="David" w:hAnsi="David"/>
          <w:rtl w:val="true"/>
        </w:rPr>
        <w:t>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הקטין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אכן נעשה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9.1.19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פגש הסוכן </w:t>
      </w:r>
      <w:r>
        <w:rPr>
          <w:rFonts w:ascii="David" w:hAnsi="David"/>
          <w:rtl w:val="true"/>
        </w:rPr>
        <w:t xml:space="preserve">בקטין </w:t>
      </w:r>
      <w:r>
        <w:rPr>
          <w:rFonts w:ascii="David" w:hAnsi="David"/>
          <w:rtl w:val="true"/>
        </w:rPr>
        <w:t xml:space="preserve">שמסר לו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רימון ההלם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</w:t>
      </w:r>
      <w:r>
        <w:rPr>
          <w:rFonts w:ascii="David" w:hAnsi="David"/>
          <w:rtl w:val="true"/>
        </w:rPr>
        <w:t xml:space="preserve">ת </w:t>
      </w:r>
      <w:r>
        <w:rPr>
          <w:rFonts w:cs="David" w:ascii="David" w:hAnsi="David"/>
        </w:rPr>
        <w:t>350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ששילם הסוכן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אישום זה הורשע הנאשם בעבירת סחר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עובדות תיק הצירוף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23.4.18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 הנאשם את מפתחות רכבו של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ועשה בו שימוש ללא רשותו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רישיון נהיגה בתוקף וכשהוא מצוי תחת השפעת משקאות משכרים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שנעצר על ידי שוטרים במחסום שגרתי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משנעצר והתבקש להזדהות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התחזה הנאשם לאחיו ומסר את שמו בכוונה להטעות את השוטרים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במסגרת אישום זה הורשע</w:t>
      </w:r>
      <w:r>
        <w:rPr>
          <w:rFonts w:ascii="David" w:hAnsi="David"/>
          <w:rtl w:val="true"/>
        </w:rPr>
        <w:t xml:space="preserve"> הנאשם בעבירות של </w:t>
      </w:r>
      <w:r>
        <w:rPr>
          <w:rFonts w:ascii="David" w:hAnsi="David"/>
          <w:rtl w:val="true"/>
        </w:rPr>
        <w:t>שבל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תחת השפעת משקאות משכרים והתחזות כאדם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78" w:start="-58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התביעה ביקשה </w:t>
      </w:r>
      <w:r>
        <w:rPr>
          <w:rFonts w:ascii="David" w:hAnsi="David"/>
          <w:rtl w:val="true"/>
        </w:rPr>
        <w:t xml:space="preserve">לראות בנסיבות ביצוע העבירה ככאלה המלמדות שאין המדובר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באפיזודה חולפת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אלא בנאשם המעורה בסחר בנשק 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ביסוס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הנתונים הבאים</w:t>
      </w:r>
      <w:r>
        <w:rPr>
          <w:rFonts w:cs="David" w:ascii="David" w:hAnsi="David"/>
          <w:rtl w:val="true"/>
        </w:rPr>
        <w:t>: 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העבירות בוצעו בהפרש של מספר חודשים</w:t>
      </w:r>
      <w:r>
        <w:rPr>
          <w:rFonts w:cs="David" w:ascii="David" w:hAnsi="David"/>
          <w:rtl w:val="true"/>
        </w:rPr>
        <w:t>; 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ביצע עסקאות בשני סוגי נשק שונים</w:t>
      </w:r>
      <w:r>
        <w:rPr>
          <w:rFonts w:cs="David" w:ascii="David" w:hAnsi="David"/>
          <w:rtl w:val="true"/>
        </w:rPr>
        <w:t>; (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נראה כ</w:t>
      </w:r>
      <w:r>
        <w:rPr>
          <w:rFonts w:ascii="David" w:hAnsi="David"/>
          <w:rtl w:val="true"/>
        </w:rPr>
        <w:t xml:space="preserve">דמות הדומיננטית </w:t>
      </w:r>
      <w:r>
        <w:rPr>
          <w:rFonts w:ascii="David" w:hAnsi="David"/>
          <w:rtl w:val="true"/>
        </w:rPr>
        <w:t>באירועים השונים ו</w:t>
      </w:r>
      <w:r>
        <w:rPr>
          <w:rFonts w:ascii="David" w:hAnsi="David"/>
          <w:rtl w:val="true"/>
        </w:rPr>
        <w:t>הוא היה זה שעמד בקשר רציף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תכנן והוציא לפועל את העסקה מושא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ביצע עסקה נוספת ונפרדת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לשיטת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קסה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שיקלול הנתונים הרלוונטיים לקביעת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מוביל למסקנה כי יש להעמיד את המתחמים כמפורט 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אישום ראשון בתיק העיקרי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סחר באקדח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</w:rPr>
        <w:t>6-2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אישום שני בתיק העיקרי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סחר ברימון הלם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4-1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תיק הצירוף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פסילת רישיון נהיגה לתקופה שלא תפחת מהתקופה המינימלית הקבועה בחוק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התביעה עמדה בטיעוניה על נתוניו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עברו ה</w:t>
      </w:r>
      <w:r>
        <w:rPr>
          <w:rFonts w:ascii="David" w:hAnsi="David"/>
          <w:rtl w:val="true"/>
        </w:rPr>
        <w:t xml:space="preserve">פלילי </w:t>
      </w:r>
      <w:r>
        <w:rPr>
          <w:rFonts w:ascii="David" w:hAnsi="David"/>
          <w:rtl w:val="true"/>
        </w:rPr>
        <w:t xml:space="preserve">הכולל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בגין ביצוע מגוון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שבל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ריצוי עונש מאסר בפועל בן שנה והטלת עונשי 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בהינתן העבר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תוך התחשבות בהודאתו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התביעה </w:t>
      </w:r>
      <w:r>
        <w:rPr>
          <w:rFonts w:ascii="David" w:hAnsi="David"/>
          <w:rtl w:val="true"/>
        </w:rPr>
        <w:t>למקם את הנאשם ב</w:t>
      </w:r>
      <w:r>
        <w:rPr>
          <w:rFonts w:ascii="David" w:hAnsi="David"/>
          <w:rtl w:val="true"/>
        </w:rPr>
        <w:t>מרכזו של כ</w:t>
      </w:r>
      <w:r>
        <w:rPr>
          <w:rFonts w:ascii="David" w:hAnsi="David"/>
          <w:rtl w:val="true"/>
        </w:rPr>
        <w:t>ל מתחם שנקבע ביחס לכל אישום בעבירות הסחר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ולהטיל עליו </w:t>
      </w:r>
      <w:r>
        <w:rPr>
          <w:rFonts w:ascii="David" w:hAnsi="David"/>
          <w:rtl w:val="true"/>
        </w:rPr>
        <w:t xml:space="preserve">עונש כולל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פסילת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ורכיבי ענישה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פלישמן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 שהענישה לה עתרה התביעה מוגזמת ונעדרת תימוכין בפסיקת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והפנה לפסקי דין התומכים בעמדתו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עמדת התביעה מבוססת על הנחיית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אינה עולה בקנה אחד עם פסיקת בית המשפט העליון ו</w:t>
      </w:r>
      <w:r>
        <w:rPr>
          <w:rFonts w:ascii="David" w:hAnsi="David"/>
          <w:rtl w:val="true"/>
        </w:rPr>
        <w:t>מתעלמת מה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בחנה הברורה שעור</w:t>
      </w:r>
      <w:r>
        <w:rPr>
          <w:rFonts w:ascii="David" w:hAnsi="David"/>
          <w:rtl w:val="true"/>
        </w:rPr>
        <w:t xml:space="preserve">כים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תי </w:t>
      </w:r>
      <w:r>
        <w:rPr>
          <w:rFonts w:ascii="David" w:hAnsi="David"/>
          <w:rtl w:val="true"/>
        </w:rPr>
        <w:t xml:space="preserve">המשפט בין </w:t>
      </w:r>
      <w:r>
        <w:rPr>
          <w:rFonts w:ascii="David" w:hAnsi="David"/>
          <w:rtl w:val="true"/>
        </w:rPr>
        <w:t>סחר ב</w:t>
      </w:r>
      <w:r>
        <w:rPr>
          <w:rFonts w:ascii="David" w:hAnsi="David"/>
          <w:rtl w:val="true"/>
        </w:rPr>
        <w:t xml:space="preserve">אקדחים לבין </w:t>
      </w:r>
      <w:r>
        <w:rPr>
          <w:rFonts w:ascii="David" w:hAnsi="David"/>
          <w:rtl w:val="true"/>
        </w:rPr>
        <w:t>סחר ב</w:t>
      </w:r>
      <w:r>
        <w:rPr>
          <w:rFonts w:ascii="David" w:hAnsi="David"/>
          <w:rtl w:val="true"/>
        </w:rPr>
        <w:t>כלי נשק אוטומטיים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לאחרונים פוטנציאל נזק גבוה וחמור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הודגש כי עברו הפלילי של הנאשם אינו </w:t>
      </w:r>
      <w:r>
        <w:rPr>
          <w:rFonts w:ascii="David" w:hAnsi="David"/>
          <w:rtl w:val="true"/>
        </w:rPr>
        <w:t>כולל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דווקא עבירות רכוש ישנות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מקום להתחשבות אף בנתוניו האישיים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בעובדה כי קיבל אחריות מלאה על מעשיו ובחר להודות במיוחס לו שלא בדרך של הסדר טיעון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78" w:start="-58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הייתה מחלוקת בין הצדדים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יש לקבוע מתחם נפרד לכל אחד משני האירועים המפורטים בכתב האישום בתיק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הייתה אף מחלוקת כי בגין העבירות בהן הורשע הנאשם בתיק הצירוף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להטיל עונש של פסילת רישיון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 הם פני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ימוקד הדיון בשאלת מתחמי הענישה בתיק העיקרי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הלכה פסוקה היא כי עבירות נשק מאיימות על שלום הציבור ועל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בהיותן התשתית למגוון רחב של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בעבירות איומים ושוד מזוין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שכולן גוררות בתורן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פגיעה בגוף ובנפש </w:t>
      </w:r>
      <w:r>
        <w:rPr>
          <w:rFonts w:cs="David" w:ascii="David" w:hAnsi="David"/>
          <w:rtl w:val="true"/>
        </w:rPr>
        <w:t>[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יונס סובח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.11.2019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].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>נקבע כי יש לראות את תופעת הסחר הבלתי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חוקי בנשק בחומרה 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סחר בלתי חוקי בנשק מוביל ליצירת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מחתרתי בלתי חוקי למכירת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וסולל את הדרך לפעילות אלימה ובלתי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ניסיון החיים מלמד כי נשק שמקורו מפוקפק מוצא את דרכו לידיים עברייניות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חמור מכך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למפגעים למיניהם השואפים להוציא אל הפועל פעילות חבלנית עוינת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סחר בנשק בלתי חוקי מהווה אפוא נדבך ראשוני והכרחי בשרשרת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וגדיעתו מהווה תנאי הכרחי למיגורם של מעשי אלימות חמורים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ראו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מאל 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.12.2011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רונן דהוד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19.01.2017</w:t>
      </w:r>
      <w:r>
        <w:rPr>
          <w:rFonts w:cs="David" w:ascii="David" w:hAnsi="David"/>
          <w:rtl w:val="true"/>
        </w:rPr>
        <w:t xml:space="preserve">)].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עמד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לאורך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הצורך בהחמרה הדרגתית בעונשי המאסר הנגזרים על 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ובכללן גם סחר בלתי חוקי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ראה לעניין זה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מזוז ב</w:t>
      </w:r>
      <w:r>
        <w:rPr>
          <w:rFonts w:ascii="David" w:hAnsi="David"/>
          <w:b/>
          <w:b/>
          <w:bCs/>
          <w:rtl w:val="true"/>
        </w:rPr>
        <w:t>עניין סובח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שאוזכר לעיל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מעבר למאמץ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לשים יד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גם ענישה מחמירה ומרתיעה בעבירות נשק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 xml:space="preserve">אזכיר כי המחוקק ביטא את גישתו המחמירה לתופעה זו כאשר קבע עונשים מחמירים של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על ייצור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יבוא או סחר בנשק בלא רשות על פי דין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1977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זאת אף בלא שנעשה בנשק שימוש לביצוע עבירה נוספת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ייבוש הביצה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המשמשת ערס לגידולן של תופעות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ידי ענישה מחמירה ומרתיעה לעבירות נשק בלתי חוקי באשר הן </w:t>
      </w:r>
      <w:r>
        <w:rPr>
          <w:rFonts w:cs="David" w:ascii="David" w:hAnsi="David"/>
          <w:b/>
          <w:bCs/>
          <w:rtl w:val="true"/>
        </w:rPr>
        <w:t>[...]"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 ומבלי לפגום בתוקפם של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טעם רב בטענת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פלישמן לפיה </w:t>
      </w:r>
      <w:r>
        <w:rPr>
          <w:rFonts w:ascii="David" w:hAnsi="David"/>
          <w:rtl w:val="true"/>
        </w:rPr>
        <w:t>לא ניתן לגזור גזירה שווה בין כל אמצעי הלחימה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מתחם העונש ההולם יש לבסס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סוג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איכות וכמות הנשק הנסחר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אלו קובעים את פוטנציאל הנזק הכרוך במעשה העבירה ומהווים נסיבות הקשורות בביצוע העבירה </w:t>
      </w:r>
      <w:r>
        <w:rPr>
          <w:rFonts w:cs="David" w:ascii="David" w:hAnsi="David"/>
          <w:rtl w:val="true"/>
        </w:rPr>
        <w:t>[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.2013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].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מדובר במכירת תתי מקלע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כמו בחלק משמעותי מפסקי הדין שצורפו על ידי הצדדים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אלא במכירת אקדח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ורימון הלם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ביחס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וכעולה מפסק דינו של בית המשפט העליון ב</w:t>
      </w:r>
      <w:r>
        <w:rPr>
          <w:rFonts w:ascii="David" w:hAnsi="David"/>
          <w:b/>
          <w:b/>
          <w:bCs/>
          <w:rtl w:val="true"/>
        </w:rPr>
        <w:t>עניין חסן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לציין כי הנזק הפוטנציאלי שיכול להיגרם מרימון הלם </w:t>
      </w:r>
      <w:r>
        <w:rPr>
          <w:rFonts w:ascii="David" w:hAnsi="David"/>
          <w:rtl w:val="true"/>
        </w:rPr>
        <w:t>אינ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משתווה לז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של כלי נשק אחרים ו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אף פחות משל 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מטרתו לטשטש אדם ולהכניסו למצב של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לכחד כי גם רימון הלם הנו נשק שבכוחו לגרום לפציעה של אדם בכפוף לקרבתו למוקד הפעלתו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בניגוד לכלי נשק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ביכולתו להביא להרג חסר הבחנה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בקביעת המתחם יש ליתן משקל לחלקו הדומיננטי של הנאשם בביצוע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 כי לנאשם הייתה נגישות לשני סוגי נשק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לפרק הזמן שחלף בין אירוע לאירוע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נגישות לנשק לאורך זמן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ולעובדה כי באישום השני הפעיל הנאשם גם את אחיו הקטין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הגם שהנאשם היה אדיש לזהות האדם שקיבל לידיו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לעובדה שהנשק הגיע לידיו משטרתיות ולא עברייניות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עיינתי בפסק הדין אליהם הפנו התביעה וההגנה ובפסקי דין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ומצאתי את פסקי הדין הבאים כרלוונטיים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firstLine="30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 w:before="0" w:after="160"/>
        <w:ind w:hanging="418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 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16.8.2018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נדונו במאוחד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ערעורים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לרבות ערעור מדינה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בעניינם של שישה נאשמים שביצעו 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418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 נאשמים רלוונטיים לענייננו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שמכר שני אקדחים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בשני אירועים שונים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לכל אירוע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וגזר על הנאשם עונש כולל של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 דחה את ערעור המדינה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שמכר אקדח לסוכן משטרתי תוך שנקבע כי נאשם אחר היה האדם הדומיננטי בעסקה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ערעור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418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318/11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ערב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5.12.2011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נדון עניינו של נאשם שמכר שני אקדחים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בשני אירועים שונים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לסוכן משטרתי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 הציע למכור לסוכן גם רימון רסס אולם הצעה זו לא גובשה לכלל עסקה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המשפט המחוזי גזר על הנאשם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קיבל את ערעור המדינה והעמיד את העונש על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0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</w:rPr>
      </w:pP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מחמד געביס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.2019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 xml:space="preserve">בית המשפט העליון קיבל את ערעור המדינה והחמיר בעונש המאסר בפועל שהושת על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בגין שלושה אישומים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שירצה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מאסר בפועל</w:t>
      </w:r>
      <w:r>
        <w:rPr>
          <w:rFonts w:ascii="David" w:hAnsi="David"/>
          <w:rtl w:val="true"/>
        </w:rPr>
        <w:t xml:space="preserve"> וזאת תוך מתן משקל ל</w:t>
      </w:r>
      <w:r>
        <w:rPr>
          <w:rFonts w:ascii="David" w:hAnsi="David"/>
          <w:rtl w:val="true"/>
        </w:rPr>
        <w:t>ריבוי העבירות ועברו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המשפחתי המורכב והודאתו 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בית המשפט את מגמת החמרת הענישה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מכר לסוכן משטרתי </w:t>
      </w:r>
      <w:r>
        <w:rPr>
          <w:rFonts w:ascii="David" w:hAnsi="David"/>
          <w:b/>
          <w:b/>
          <w:bCs/>
          <w:rtl w:val="true"/>
        </w:rPr>
        <w:t>שני אקדחים חצי אוטומטיים ומחסנית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וכן רובה מסוג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</w:rPr>
        <w:t>M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מחסנית ושקית עם מספר רב של כדורים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1397/16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חמאיל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6.9.2016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 הורשעו שני נאשמים בעבירות של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הראשון מכר לסוכן משטרתי </w:t>
      </w:r>
      <w:r>
        <w:rPr>
          <w:rFonts w:ascii="David" w:hAnsi="David"/>
          <w:b/>
          <w:b/>
          <w:bCs/>
          <w:rtl w:val="true"/>
        </w:rPr>
        <w:t>שני תתי מקלע וניסה למכור לו שני תתי מקלע נוספים וכן 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ונדון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הנאשם השני מכר לסוכן תת מקלע וניסה למכור לו שני תתי מקלע נוספים ואקדח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ונדון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ית המשפט העליון דחה </w:t>
      </w:r>
      <w:r>
        <w:rPr>
          <w:rFonts w:ascii="David" w:hAnsi="David"/>
          <w:rtl w:val="true"/>
        </w:rPr>
        <w:t>ערעורי הגנה וערעור המדינה</w:t>
      </w:r>
      <w:r>
        <w:rPr>
          <w:rFonts w:ascii="David" w:hAnsi="David"/>
          <w:rtl w:val="true"/>
        </w:rPr>
        <w:t xml:space="preserve"> על שני גזרי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שציין כי הגם ש</w:t>
      </w:r>
      <w:r>
        <w:rPr>
          <w:rFonts w:ascii="David" w:hAnsi="David"/>
          <w:rtl w:val="true"/>
        </w:rPr>
        <w:t>העונשים שנגזרו הנם על הצד המקל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הם </w:t>
      </w:r>
      <w:r>
        <w:rPr>
          <w:rFonts w:ascii="David" w:hAnsi="David"/>
          <w:rtl w:val="true"/>
        </w:rPr>
        <w:t>אינם חורגים לקולה באופן ממשי מרמת הענישה המקובלת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19.2.2017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 xml:space="preserve">שם דובר בנאשם שמכר לסוכן משטרתי </w:t>
      </w:r>
      <w:r>
        <w:rPr>
          <w:rFonts w:ascii="David" w:hAnsi="David"/>
          <w:b/>
          <w:b/>
          <w:bCs/>
          <w:rtl w:val="true"/>
        </w:rPr>
        <w:t>אקדח ורובה ציד מאולתר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ונדון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 xml:space="preserve">בעניינו של הנאשם הראשון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חסן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דובר במי </w:t>
      </w:r>
      <w:r>
        <w:rPr>
          <w:rFonts w:ascii="David" w:hAnsi="David"/>
          <w:b/>
          <w:b/>
          <w:bCs/>
          <w:rtl w:val="true"/>
        </w:rPr>
        <w:t xml:space="preserve">שמכר רימון הלם </w:t>
      </w:r>
      <w:r>
        <w:rPr>
          <w:rFonts w:ascii="David" w:hAnsi="David"/>
          <w:rtl w:val="true"/>
        </w:rPr>
        <w:t xml:space="preserve">לסוכן משטרתי תמורת </w:t>
      </w:r>
      <w:r>
        <w:rPr>
          <w:rFonts w:cs="David" w:ascii="David" w:hAnsi="David"/>
        </w:rPr>
        <w:t>1,300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בית המשפט העליון קבע כי המתחם שנקבע בבית המשפט המחוזי לסחר ברימון הלם אחד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שנת מאסר עד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מעט מחמיר מדי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בהינתן העובדה כי 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סחר בנשק הנמצא באחת הדיוטות הנמוכות שבסולם החומרה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החליט בית המשפט העליון שלא להתערב במתחם שכן העונש הסופי שנגזר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היה ראוי בעיניו והותירו על כנו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בסיס כלל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להידרש לקביעת מתחם העונש ההולם ביחס לתיק העיקרי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לאירוע הראשון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מכירת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ברטה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b/>
          <w:b/>
          <w:bCs/>
          <w:rtl w:val="true"/>
        </w:rPr>
        <w:t xml:space="preserve">ראיתי להעמיד את הרף התחתון של המתחם על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ואת העליון על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 xml:space="preserve">ביחס לאירוע השני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מכירת רימון הלם</w:t>
      </w:r>
      <w:r>
        <w:rPr>
          <w:rFonts w:cs="David" w:ascii="David" w:hAnsi="David"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ראיתי להעמיד את הרף התחתון של המתחם על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ואת העליון על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קביעת העונש המתאים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גזירת העונש המתאים לנאשם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המנויות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שלושה שיקולים מרכזיים יישקלו במסגרת האמורה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עבר 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עברו הפלילי של הנאשם אינו מכביד באופן מיוחד והוא כולל בעיקר הרשעות בעבירות רכוש שאינן נמצאות ברף העליון והאחרונות שבהן בוצעו לפני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ריצה עונש מאסר אחד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בגין עבירות שביצע בשנת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לחובת הנאשם הרשעות קודמות בעבירות נשק או בעבירות אלימות חמורות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הודאה והבעת 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הנאשם קיבל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ועשה כן שלא 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נלמד גם מדברי הנאשם בבית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במי שהפנים את החומרה שאפיינה את מעשיו ומכאן שיש משקל למתן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עוד מעבר לעובדה כי היה בהודאה כדי לחסוך בזמן ציבורי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נתונים אישיים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נתתי דעתי לנתוניו האישיים של הנאשם כפי שעמד עליהם בא כוחו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להטיל על הנאשם </w:t>
      </w:r>
      <w:r>
        <w:rPr>
          <w:rFonts w:ascii="David" w:hAnsi="David"/>
          <w:u w:val="single"/>
          <w:rtl w:val="true"/>
        </w:rPr>
        <w:t>עונש כולל</w:t>
      </w:r>
      <w:r>
        <w:rPr>
          <w:rFonts w:ascii="David" w:hAnsi="David"/>
          <w:rtl w:val="true"/>
        </w:rPr>
        <w:t xml:space="preserve"> בהתאם לאמור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כמפורט 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מעצרו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5.2.19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הנאשם לא יישא עונש זה אלא אם יעבור 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עבירת נשק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אולם הנאשם לא יישא עונש זה אלא אם יעבור 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אחת מהעבירות בהן הורשע בתיק הצירוף</w:t>
      </w:r>
      <w:r>
        <w:rPr>
          <w:rFonts w:cs="David" w:ascii="David" w:hAnsi="David"/>
          <w:rtl w:val="true"/>
        </w:rPr>
        <w:t xml:space="preserve">;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פסילת רישיון לתקופה בת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החל מיום שחרורו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ולא יאוחר מיום </w:t>
      </w:r>
      <w:r>
        <w:rPr>
          <w:rFonts w:cs="David" w:ascii="David" w:hAnsi="David"/>
        </w:rPr>
        <w:t>1.4.2020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Fonts w:ascii="David" w:hAnsi="David"/>
          <w:rtl w:val="true"/>
        </w:rPr>
        <w:t xml:space="preserve">עם סיום ההליכים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לרבות בעניינו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יש להשיב לנאשם שלושה טלפונים ניידים שנתפסו במהלך חקירתו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באמצעות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נטליה טרופימוב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/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27330-02-19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טרופימוב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.b" TargetMode="External"/><Relationship Id="rId7" Type="http://schemas.openxmlformats.org/officeDocument/2006/relationships/hyperlink" Target="http://www.nevo.co.il/law/70301/413c" TargetMode="External"/><Relationship Id="rId8" Type="http://schemas.openxmlformats.org/officeDocument/2006/relationships/hyperlink" Target="http://www.nevo.co.il/law/70301/441" TargetMode="External"/><Relationship Id="rId9" Type="http://schemas.openxmlformats.org/officeDocument/2006/relationships/hyperlink" Target="http://www.nevo.co.il/law/70301/498.a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4274" TargetMode="External"/><Relationship Id="rId12" Type="http://schemas.openxmlformats.org/officeDocument/2006/relationships/hyperlink" Target="http://www.nevo.co.il/law/74274/26.2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10.a" TargetMode="External"/><Relationship Id="rId15" Type="http://schemas.openxmlformats.org/officeDocument/2006/relationships/hyperlink" Target="http://www.nevo.co.il/law/5227/38.1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413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41" TargetMode="External"/><Relationship Id="rId24" Type="http://schemas.openxmlformats.org/officeDocument/2006/relationships/hyperlink" Target="http://www.nevo.co.il/law/74274/26.2" TargetMode="External"/><Relationship Id="rId25" Type="http://schemas.openxmlformats.org/officeDocument/2006/relationships/hyperlink" Target="http://www.nevo.co.il/law/74274" TargetMode="External"/><Relationship Id="rId26" Type="http://schemas.openxmlformats.org/officeDocument/2006/relationships/hyperlink" Target="http://www.nevo.co.il/law/5227/38.1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law/5227/10.a" TargetMode="External"/><Relationship Id="rId29" Type="http://schemas.openxmlformats.org/officeDocument/2006/relationships/hyperlink" Target="http://www.nevo.co.il/law/70301/498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5824863" TargetMode="External"/><Relationship Id="rId32" Type="http://schemas.openxmlformats.org/officeDocument/2006/relationships/hyperlink" Target="http://www.nevo.co.il/case/5821327" TargetMode="External"/><Relationship Id="rId33" Type="http://schemas.openxmlformats.org/officeDocument/2006/relationships/hyperlink" Target="http://www.nevo.co.il/case/2147452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473037" TargetMode="External"/><Relationship Id="rId36" Type="http://schemas.openxmlformats.org/officeDocument/2006/relationships/hyperlink" Target="http://www.nevo.co.il/case/23750625" TargetMode="External"/><Relationship Id="rId37" Type="http://schemas.openxmlformats.org/officeDocument/2006/relationships/hyperlink" Target="http://www.nevo.co.il/case/5692319" TargetMode="External"/><Relationship Id="rId38" Type="http://schemas.openxmlformats.org/officeDocument/2006/relationships/hyperlink" Target="http://www.nevo.co.il/case/25430243" TargetMode="External"/><Relationship Id="rId39" Type="http://schemas.openxmlformats.org/officeDocument/2006/relationships/hyperlink" Target="http://www.nevo.co.il/case/21472788" TargetMode="External"/><Relationship Id="rId40" Type="http://schemas.openxmlformats.org/officeDocument/2006/relationships/hyperlink" Target="http://www.nevo.co.il/case/21474520" TargetMode="External"/><Relationship Id="rId41" Type="http://schemas.openxmlformats.org/officeDocument/2006/relationships/hyperlink" Target="http://www.nevo.co.il/case/6473037" TargetMode="External"/><Relationship Id="rId42" Type="http://schemas.openxmlformats.org/officeDocument/2006/relationships/hyperlink" Target="http://www.nevo.co.il/law/70301/40ja" TargetMode="External"/><Relationship Id="rId43" Type="http://schemas.openxmlformats.org/officeDocument/2006/relationships/hyperlink" Target="http://www.nevo.co.il/law/70301/40jc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2020-03-03T12:38:00Z</dcterms:created>
  <dc:creator> </dc:creator>
  <dc:description/>
  <cp:keywords/>
  <dc:language>en-IL</dc:language>
  <cp:lastModifiedBy>orly</cp:lastModifiedBy>
  <dcterms:modified xsi:type="dcterms:W3CDTF">2020-03-03T12:38:00Z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טרופימוב;אלכסנדר טרופימוב;דמיטרי לוינטנט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25824863;5821327;21474520:2;6473037:2;23750625;5692319;25430243;21472788</vt:lpwstr>
  </property>
  <property fmtid="{D5CDD505-2E9C-101B-9397-08002B2CF9AE}" pid="9" name="CITY">
    <vt:lpwstr>ת"א</vt:lpwstr>
  </property>
  <property fmtid="{D5CDD505-2E9C-101B-9397-08002B2CF9AE}" pid="10" name="DATE">
    <vt:lpwstr>20200105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70301/499.a.1;144.b2:2;029;413c;441;498.a;40ja;40jc.b</vt:lpwstr>
  </property>
  <property fmtid="{D5CDD505-2E9C-101B-9397-08002B2CF9AE}" pid="15" name="LAWLISTTMP2">
    <vt:lpwstr>74274/026.2</vt:lpwstr>
  </property>
  <property fmtid="{D5CDD505-2E9C-101B-9397-08002B2CF9AE}" pid="16" name="LAWLISTTMP3">
    <vt:lpwstr>5227/038.1;010.a</vt:lpwstr>
  </property>
  <property fmtid="{D5CDD505-2E9C-101B-9397-08002B2CF9AE}" pid="17" name="LAWYER">
    <vt:lpwstr>קארי קסה;שמואל פלישמן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27330</vt:lpwstr>
  </property>
  <property fmtid="{D5CDD505-2E9C-101B-9397-08002B2CF9AE}" pid="25" name="NEWPARTB">
    <vt:lpwstr>02</vt:lpwstr>
  </property>
  <property fmtid="{D5CDD505-2E9C-101B-9397-08002B2CF9AE}" pid="26" name="NEWPARTC">
    <vt:lpwstr>19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</vt:lpwstr>
  </property>
  <property fmtid="{D5CDD505-2E9C-101B-9397-08002B2CF9AE}" pid="61" name="PADIDATE">
    <vt:lpwstr>20200303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390120200105</vt:lpwstr>
  </property>
  <property fmtid="{D5CDD505-2E9C-101B-9397-08002B2CF9AE}" pid="71" name="TYPE_N_DATE">
    <vt:lpwstr>39020200105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