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27339-09-10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סולימאן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הנאשמת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ספא סולימאן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מטעם</w:t>
      </w:r>
      <w:bookmarkEnd w:id="2"/>
      <w:r>
        <w:rPr>
          <w:rtl w:val="true"/>
        </w:rPr>
        <w:t xml:space="preserve"> 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רז וולטר</w:t>
      </w:r>
    </w:p>
    <w:p>
      <w:pPr>
        <w:pStyle w:val="Normal"/>
        <w:ind w:end="0"/>
        <w:jc w:val="start"/>
        <w:rPr/>
      </w:pPr>
      <w:r>
        <w:rPr>
          <w:rtl w:val="true"/>
        </w:rPr>
        <w:t>מטעם הנאשמת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שמואל לוינשטיין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הנאשמת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Style14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Style14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Style14"/>
        <w:ind w:end="0"/>
        <w:jc w:val="start"/>
        <w:rPr>
          <w:rFonts w:ascii="Arial" w:hAnsi="Arial" w:eastAsia="David" w:cs="Arial"/>
          <w:b/>
          <w:bCs/>
          <w:sz w:val="28"/>
          <w:szCs w:val="28"/>
          <w:u w:val="single"/>
        </w:rPr>
      </w:pPr>
      <w:r>
        <w:rPr>
          <w:rFonts w:eastAsia="David"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Style14"/>
        <w:ind w:end="0"/>
        <w:jc w:val="both"/>
        <w:rPr/>
      </w:pPr>
      <w:r>
        <w:rPr>
          <w:rtl w:val="true"/>
        </w:rPr>
        <w:t>הנאשמת בתיק זה הורשעה על</w:t>
      </w:r>
      <w:r>
        <w:rPr>
          <w:rtl w:val="true"/>
        </w:rPr>
        <w:t>-</w:t>
      </w:r>
      <w:r>
        <w:rPr>
          <w:rtl w:val="true"/>
        </w:rPr>
        <w:t xml:space="preserve">פי הודאתה בעובדות כתב האישום המתוקן מיום </w:t>
      </w:r>
      <w:r>
        <w:rPr/>
        <w:t>21.9.10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 האישום</w:t>
      </w:r>
      <w:r>
        <w:rPr>
          <w:rtl w:val="true"/>
        </w:rPr>
        <w:t xml:space="preserve">"), </w:t>
      </w:r>
      <w:r>
        <w:rPr>
          <w:rtl w:val="true"/>
        </w:rPr>
        <w:t xml:space="preserve">בעבירה של הובלת נשק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כמפורט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הנאשמת נתפסה ביום </w:t>
      </w:r>
      <w:r>
        <w:rPr/>
        <w:t>14.9.10</w:t>
      </w:r>
      <w:r>
        <w:rPr>
          <w:rtl w:val="true"/>
        </w:rPr>
        <w:t xml:space="preserve">, </w:t>
      </w:r>
      <w:r>
        <w:rPr>
          <w:rtl w:val="true"/>
        </w:rPr>
        <w:t>עת נסעה משטח הרשות הפלשתינית לישראל</w:t>
      </w:r>
      <w:r>
        <w:rPr>
          <w:rtl w:val="true"/>
        </w:rPr>
        <w:t xml:space="preserve">, </w:t>
      </w:r>
      <w:r>
        <w:rPr>
          <w:rtl w:val="true"/>
        </w:rPr>
        <w:t>כשברכבה נשק מאולתר עם מחסנית</w:t>
      </w:r>
      <w:r>
        <w:rPr>
          <w:rtl w:val="true"/>
        </w:rPr>
        <w:t xml:space="preserve">. </w:t>
      </w:r>
      <w:r>
        <w:rPr>
          <w:rtl w:val="true"/>
        </w:rPr>
        <w:t>הנאשמת נעצרה על</w:t>
      </w:r>
      <w:r>
        <w:rPr>
          <w:rtl w:val="true"/>
        </w:rPr>
        <w:t>-</w:t>
      </w:r>
      <w:r>
        <w:rPr>
          <w:rtl w:val="true"/>
        </w:rPr>
        <w:t>ידי שוטרים במחסום גבולות סמוך לבית</w:t>
      </w:r>
      <w:r>
        <w:rPr>
          <w:rtl w:val="true"/>
        </w:rPr>
        <w:t>-</w:t>
      </w:r>
      <w:r>
        <w:rPr>
          <w:rtl w:val="true"/>
        </w:rPr>
        <w:t>שאן</w:t>
      </w:r>
      <w:r>
        <w:rPr>
          <w:rtl w:val="true"/>
        </w:rPr>
        <w:t xml:space="preserve">, </w:t>
      </w:r>
      <w:r>
        <w:rPr>
          <w:rtl w:val="true"/>
        </w:rPr>
        <w:t>ובחיפוש שנערך ברכבה נמצא הנשק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המאשימה מבקשת להטיל על הנאשמת עונש שלא יפחת 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וכן מאסר מותנה וקנס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 xml:space="preserve">מדובר במעשים חמורים שאינם בגדר </w:t>
      </w:r>
      <w:r>
        <w:rPr>
          <w:rtl w:val="true"/>
        </w:rPr>
        <w:t>"</w:t>
      </w:r>
      <w:r>
        <w:rPr>
          <w:rtl w:val="true"/>
        </w:rPr>
        <w:t>הובלה תמימה</w:t>
      </w:r>
      <w:r>
        <w:rPr>
          <w:rtl w:val="true"/>
        </w:rPr>
        <w:t xml:space="preserve">" </w:t>
      </w:r>
      <w:r>
        <w:rPr>
          <w:rtl w:val="true"/>
        </w:rPr>
        <w:t>עקב ניצול שנוצלה הנאשמת על</w:t>
      </w:r>
      <w:r>
        <w:rPr>
          <w:rtl w:val="true"/>
        </w:rPr>
        <w:t>-</w:t>
      </w:r>
      <w:r>
        <w:rPr>
          <w:rtl w:val="true"/>
        </w:rPr>
        <w:t>ידי אדם אחר</w:t>
      </w:r>
      <w:r>
        <w:rPr>
          <w:rtl w:val="true"/>
        </w:rPr>
        <w:t xml:space="preserve">, </w:t>
      </w:r>
      <w:r>
        <w:rPr>
          <w:rtl w:val="true"/>
        </w:rPr>
        <w:t>אלא בעבירה שנעשתה באופן מודע ומתוך ידיעה כי הנשק עלול ליפול לידיהם של גורמים עוינים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הסנגור התייחס בטיעוניו לנסיבותיה האישיות של הנאשמת ולנסיבות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אשר מפורטות היטב בכתב אישום שהוגש בתיק אחר כנגד מי שיזם את העברת הנשק    </w:t>
      </w:r>
      <w:r>
        <w:rPr>
          <w:rtl w:val="true"/>
        </w:rPr>
        <w:t>(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     </w:t>
        </w:r>
        <w:r>
          <w:rPr>
            <w:rStyle w:val="Hyperlink"/>
            <w:color w:val="0000FF"/>
            <w:u w:val="single"/>
          </w:rPr>
          <w:t>38274-09-10</w:t>
        </w:r>
      </w:hyperlink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>מוחמד סבייח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העובדות בכתב האישום האחר</w:t>
      </w:r>
      <w:r>
        <w:rPr>
          <w:rtl w:val="true"/>
        </w:rPr>
        <w:t xml:space="preserve">, </w:t>
      </w:r>
      <w:r>
        <w:rPr>
          <w:rtl w:val="true"/>
        </w:rPr>
        <w:t>הנאשמת פנתה לאחד ממכריה לצורך קבלת הלוואה</w:t>
      </w:r>
      <w:r>
        <w:rPr>
          <w:rtl w:val="true"/>
        </w:rPr>
        <w:t xml:space="preserve">, </w:t>
      </w:r>
      <w:r>
        <w:rPr>
          <w:rtl w:val="true"/>
        </w:rPr>
        <w:t>וזאת עקב מצבה הכלכלי הקשה</w:t>
      </w:r>
      <w:r>
        <w:rPr>
          <w:rtl w:val="true"/>
        </w:rPr>
        <w:t xml:space="preserve">. </w:t>
      </w:r>
      <w:r>
        <w:rPr>
          <w:rtl w:val="true"/>
        </w:rPr>
        <w:t xml:space="preserve">בתמורה להלוואה ביקש ממנה המכר להגיע למחסום </w:t>
      </w:r>
      <w:r>
        <w:rPr>
          <w:rtl w:val="true"/>
        </w:rPr>
        <w:t>"</w:t>
      </w:r>
      <w:r>
        <w:rPr>
          <w:rtl w:val="true"/>
        </w:rPr>
        <w:t>בזק</w:t>
      </w:r>
      <w:r>
        <w:rPr>
          <w:rtl w:val="true"/>
        </w:rPr>
        <w:t xml:space="preserve">" </w:t>
      </w:r>
      <w:r>
        <w:rPr>
          <w:rtl w:val="true"/>
        </w:rPr>
        <w:t>על מנת להעביר  שקית מתוך שטחי הרשות הפלשתינית</w:t>
      </w:r>
      <w:r>
        <w:rPr>
          <w:rtl w:val="true"/>
        </w:rPr>
        <w:t xml:space="preserve">, </w:t>
      </w:r>
      <w:r>
        <w:rPr>
          <w:rtl w:val="true"/>
        </w:rPr>
        <w:t>ומתוך מצוקתה נעתרה הנאשמת לבקשתו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הסניגור הצביע על כך שלנאשמת אין עבר פלילי</w:t>
      </w:r>
      <w:r>
        <w:rPr>
          <w:rtl w:val="true"/>
        </w:rPr>
        <w:t xml:space="preserve">, </w:t>
      </w:r>
      <w:r>
        <w:rPr>
          <w:rtl w:val="true"/>
        </w:rPr>
        <w:t>שהיא לא יזמה את העבירה ולמעשה לא ידעה מה השקית מכילה</w:t>
      </w:r>
      <w:r>
        <w:rPr>
          <w:rtl w:val="true"/>
        </w:rPr>
        <w:t xml:space="preserve">, </w:t>
      </w:r>
      <w:r>
        <w:rPr>
          <w:rtl w:val="true"/>
        </w:rPr>
        <w:t>כאשר אותו מכר הוא שהכניס את השקית לרכבה</w:t>
      </w:r>
      <w:r>
        <w:rPr>
          <w:rtl w:val="true"/>
        </w:rPr>
        <w:t xml:space="preserve">. </w:t>
      </w:r>
      <w:r>
        <w:rPr>
          <w:rtl w:val="true"/>
        </w:rPr>
        <w:t>עוד ציין כי מאז תפיסתה נמצאת הנאשמת במצב נפשי קשה כשמקוננת בה תחושת בושה וכישלון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תסקיר שרות המבחן מלמד כי הנאשמת</w:t>
      </w:r>
      <w:r>
        <w:rPr>
          <w:rtl w:val="true"/>
        </w:rPr>
        <w:t xml:space="preserve">, </w:t>
      </w:r>
      <w:r>
        <w:rPr>
          <w:rtl w:val="true"/>
        </w:rPr>
        <w:t xml:space="preserve">בת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היא אם חד</w:t>
      </w:r>
      <w:r>
        <w:rPr>
          <w:rtl w:val="true"/>
        </w:rPr>
        <w:t>-</w:t>
      </w:r>
      <w:r>
        <w:rPr>
          <w:rtl w:val="true"/>
        </w:rPr>
        <w:t xml:space="preserve">הורית לחמישה ילדים בטווח הגילים </w:t>
      </w:r>
      <w:r>
        <w:rPr/>
        <w:t>11-21</w:t>
      </w:r>
      <w:r>
        <w:rPr>
          <w:rtl w:val="true"/>
        </w:rPr>
        <w:t xml:space="preserve">. </w:t>
      </w:r>
      <w:r>
        <w:rPr>
          <w:rtl w:val="true"/>
        </w:rPr>
        <w:t>הנאשמת נעדרת עבר פלילי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מכירה באחריותה למעשים וטוענת כי פעלה מבלי להפעיל שיקול דעת</w:t>
      </w:r>
      <w:r>
        <w:rPr>
          <w:rtl w:val="true"/>
        </w:rPr>
        <w:t xml:space="preserve">. </w:t>
      </w:r>
      <w:r>
        <w:rPr>
          <w:rtl w:val="true"/>
        </w:rPr>
        <w:t>הנאשמת הביעה תחושות בושה ואכזבה עצמית ממעשיה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קצין המבחן המליץ להעמיד את הנאשמת תחת צו מבחן לתקופה של שנה וחצי ולהטיל עליה תקופת מאסר אותה תישא בדרך של עבודות שירות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Style14"/>
        <w:ind w:end="0"/>
        <w:jc w:val="both"/>
        <w:rPr/>
      </w:pPr>
      <w:r>
        <w:rPr>
          <w:rtl w:val="true"/>
        </w:rPr>
        <w:t>אני סבור כי אין למצות את הדין עם הנאשמת במקרה זה</w:t>
      </w:r>
      <w:r>
        <w:rPr>
          <w:rtl w:val="true"/>
        </w:rPr>
        <w:t xml:space="preserve">, </w:t>
      </w:r>
      <w:r>
        <w:rPr>
          <w:rtl w:val="true"/>
        </w:rPr>
        <w:t>וזאת חרף עמדת הפסיקה הנוטה להחמיר עם נאשמים בעבירות נשק</w:t>
      </w:r>
      <w:r>
        <w:rPr>
          <w:rtl w:val="true"/>
        </w:rPr>
        <w:t xml:space="preserve">. </w:t>
      </w:r>
      <w:r>
        <w:rPr>
          <w:rtl w:val="true"/>
        </w:rPr>
        <w:t>מקרה זה מלמד כי העמדה העקרונית אינה ראויה ליישום בכל מצב</w:t>
      </w:r>
      <w:r>
        <w:rPr>
          <w:rtl w:val="true"/>
        </w:rPr>
        <w:t xml:space="preserve">, </w:t>
      </w:r>
      <w:r>
        <w:rPr>
          <w:rtl w:val="true"/>
        </w:rPr>
        <w:t>ויש מקום לשקול גישה מקלה במקום בו הנסיבות האישיות והספציפיות מלמדות כי ראוי לעשות כן</w:t>
      </w:r>
      <w:r>
        <w:rPr>
          <w:rtl w:val="true"/>
        </w:rPr>
        <w:t xml:space="preserve">. </w:t>
      </w:r>
      <w:r>
        <w:rPr>
          <w:rtl w:val="true"/>
        </w:rPr>
        <w:t>לא העבירה בלבד מהווה שיקול בעת גזירת העונש</w:t>
      </w:r>
      <w:r>
        <w:rPr>
          <w:rtl w:val="true"/>
        </w:rPr>
        <w:t xml:space="preserve">, </w:t>
      </w:r>
      <w:r>
        <w:rPr>
          <w:rtl w:val="true"/>
        </w:rPr>
        <w:t>אלא גם אופיו ונסיבותיו של מבצע העבירה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הנאשמת לפניי ניהלה אורח חיים נורמטיבי עד למעידתה בפרשה הנוכחית</w:t>
      </w:r>
      <w:r>
        <w:rPr>
          <w:rtl w:val="true"/>
        </w:rPr>
        <w:t xml:space="preserve">, </w:t>
      </w:r>
      <w:r>
        <w:rPr>
          <w:rtl w:val="true"/>
        </w:rPr>
        <w:t>ויש לתת ביטוי ממשי לכך 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מתוך הבנה כי האינטרס הציבורי לא ייצא נשכר מכליאתה של אישה נורמטיבית בדרך</w:t>
      </w:r>
      <w:r>
        <w:rPr>
          <w:rtl w:val="true"/>
        </w:rPr>
        <w:t>-</w:t>
      </w:r>
      <w:r>
        <w:rPr>
          <w:rtl w:val="true"/>
        </w:rPr>
        <w:t>כלל מאחורי סורג ובריח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לא נעלם מעיניי הצורך בהרתעתם של אנשים כדוגמת הנאשמת</w:t>
      </w:r>
      <w:r>
        <w:rPr>
          <w:rtl w:val="true"/>
        </w:rPr>
        <w:t xml:space="preserve">, </w:t>
      </w:r>
      <w:r>
        <w:rPr>
          <w:rtl w:val="true"/>
        </w:rPr>
        <w:t>אולם אני סבור כי השיקול האישי במקרה זה הוא כבד</w:t>
      </w:r>
      <w:r>
        <w:rPr>
          <w:rtl w:val="true"/>
        </w:rPr>
        <w:t xml:space="preserve">, </w:t>
      </w:r>
      <w:r>
        <w:rPr>
          <w:rtl w:val="true"/>
        </w:rPr>
        <w:t>כאשר בנוסף קיימים אמצעי ענישה אחרים המסוגלים לייצר אפקט הרתעתי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כחריג ולא כתקדים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מטיל על הנאשמת את העונשים הבאים</w:t>
      </w:r>
      <w:r>
        <w:rPr>
          <w:b/>
          <w:bCs/>
          <w:rtl w:val="true"/>
        </w:rPr>
        <w:t>:</w:t>
      </w:r>
    </w:p>
    <w:p>
      <w:pPr>
        <w:pStyle w:val="Style14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4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מתוכם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חודשים לנשיאה בפועל בדרך של עבודות שירות כמפורט בחוות דעתו של הממונה על עבודות השירות מיום </w:t>
      </w:r>
      <w:r>
        <w:rPr>
          <w:b/>
          <w:bCs/>
        </w:rPr>
        <w:t>24.1.11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 היתרה על תנאי למשך שלוש שנים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התנאי  שהנאשמת לא תעבור בפרק זמן זה עבירה לפי סעיף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ותורשע בגינה</w:t>
      </w:r>
      <w:r>
        <w:rPr>
          <w:b/>
          <w:bCs/>
          <w:rtl w:val="true"/>
        </w:rPr>
        <w:t>.</w:t>
      </w:r>
    </w:p>
    <w:p>
      <w:pPr>
        <w:pStyle w:val="Style14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4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הנאשמת תעמוד במבחן על ידי שירות המבחן לתקופה של  שנה וחצי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יודגש כי במקרה של אי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ציות לצו המבחן מוסמך בית המשפט להטיל על הנאשמת עונש נוסף</w:t>
      </w:r>
      <w:r>
        <w:rPr>
          <w:b/>
          <w:bCs/>
          <w:rtl w:val="true"/>
        </w:rPr>
        <w:t>.</w:t>
      </w:r>
    </w:p>
    <w:p>
      <w:pPr>
        <w:pStyle w:val="Style14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4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אני מחייב את הנאשמת בתשלום קנס בסך </w:t>
      </w:r>
      <w:r>
        <w:rPr>
          <w:b/>
          <w:bCs/>
        </w:rPr>
        <w:t>15,000</w:t>
      </w:r>
      <w:r>
        <w:rPr>
          <w:b/>
          <w:bCs/>
          <w:rtl w:val="true"/>
        </w:rPr>
        <w:t xml:space="preserve"> ₪, </w:t>
      </w:r>
      <w:r>
        <w:rPr>
          <w:b/>
          <w:b/>
          <w:bCs/>
          <w:rtl w:val="true"/>
        </w:rPr>
        <w:t>או שלושה חודשי מאסר בפועל 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 ישולם ב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 חודשיים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שווים ורצופים החל מיום </w:t>
      </w:r>
      <w:r>
        <w:rPr>
          <w:b/>
          <w:bCs/>
        </w:rPr>
        <w:t>1.10.2011</w:t>
      </w:r>
      <w:r>
        <w:rPr>
          <w:b/>
          <w:bCs/>
          <w:rtl w:val="true"/>
        </w:rPr>
        <w:t>.</w:t>
      </w:r>
    </w:p>
    <w:p>
      <w:pPr>
        <w:pStyle w:val="Style14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4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הנאשמת תרצה את עבודות השירות בבית חולים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פוריה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במשך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ימים בשבוע מהשעה </w:t>
      </w:r>
      <w:r>
        <w:rPr>
          <w:b/>
          <w:bCs/>
        </w:rPr>
        <w:t>08:30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למשך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 עבודה יומית וזאת כאמור בחוות הדעת של הממונה על עבודות השירות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תחילת ריצוי עבודות השירות החל מיום </w:t>
      </w:r>
      <w:r>
        <w:rPr>
          <w:b/>
          <w:bCs/>
        </w:rPr>
        <w:t>6.3.11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תום התקופה ברציפות</w:t>
      </w:r>
      <w:r>
        <w:rPr>
          <w:b/>
          <w:bCs/>
          <w:rtl w:val="true"/>
        </w:rPr>
        <w:t>.</w:t>
      </w:r>
    </w:p>
    <w:p>
      <w:pPr>
        <w:pStyle w:val="Style14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4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#7#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  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Style14"/>
        <w:ind w:end="0"/>
        <w:jc w:val="center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Style14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קארן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מגידס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27339-09-10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ספא סולימאן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4">
    <w:name w:val="פזית"/>
    <w:basedOn w:val="Normal"/>
    <w:qFormat/>
    <w:pPr>
      <w:spacing w:lineRule="auto" w:line="36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14;&#1508;&amp;NEWPARTA=10&amp;NEWPARTB=09&amp;NEWPARTC=38274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2011-03-23T08:15:00Z</dcterms:created>
  <dc:creator> </dc:creator>
  <dc:description/>
  <cp:keywords/>
  <dc:language>en-IL</dc:language>
  <cp:lastModifiedBy>hofit</cp:lastModifiedBy>
  <dcterms:modified xsi:type="dcterms:W3CDTF">2011-03-23T08:15:00Z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ספא סולימאן</vt:lpwstr>
  </property>
  <property fmtid="{D5CDD505-2E9C-101B-9397-08002B2CF9AE}" pid="4" name="CITY">
    <vt:lpwstr>נצ'</vt:lpwstr>
  </property>
  <property fmtid="{D5CDD505-2E9C-101B-9397-08002B2CF9AE}" pid="5" name="DATE">
    <vt:lpwstr>20110301</vt:lpwstr>
  </property>
  <property fmtid="{D5CDD505-2E9C-101B-9397-08002B2CF9AE}" pid="6" name="JUDGE">
    <vt:lpwstr>תאופיק כתילי</vt:lpwstr>
  </property>
  <property fmtid="{D5CDD505-2E9C-101B-9397-08002B2CF9AE}" pid="7" name="LAWYER">
    <vt:lpwstr>רז וולטר;שמואל לוינשטיין</vt:lpwstr>
  </property>
  <property fmtid="{D5CDD505-2E9C-101B-9397-08002B2CF9AE}" pid="8" name="NEWPARTA">
    <vt:lpwstr>27339</vt:lpwstr>
  </property>
  <property fmtid="{D5CDD505-2E9C-101B-9397-08002B2CF9AE}" pid="9" name="NEWPARTB">
    <vt:lpwstr>09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mechozi me 10 09 27339 800 htm</vt:lpwstr>
  </property>
  <property fmtid="{D5CDD505-2E9C-101B-9397-08002B2CF9AE}" pid="14" name="TYPE">
    <vt:lpwstr>2</vt:lpwstr>
  </property>
  <property fmtid="{D5CDD505-2E9C-101B-9397-08002B2CF9AE}" pid="15" name="TYPE_ABS_DATE">
    <vt:lpwstr>390020110301</vt:lpwstr>
  </property>
  <property fmtid="{D5CDD505-2E9C-101B-9397-08002B2CF9AE}" pid="16" name="TYPE_N_DATE">
    <vt:lpwstr>39020110301</vt:lpwstr>
  </property>
  <property fmtid="{D5CDD505-2E9C-101B-9397-08002B2CF9AE}" pid="17" name="WORDNUMPAGES">
    <vt:lpwstr>3</vt:lpwstr>
  </property>
</Properties>
</file>