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2757-08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נגב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 שבע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כהן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יעל רז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דינת ישראל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נגב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 שבע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אושרי ברק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ביץ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 המאשימה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אסיף גיל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הנאשם וב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רונן טל</w:t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none"/>
        </w:rPr>
      </w:pPr>
      <w:r>
        <w:rPr>
          <w:rFonts w:eastAsia="David"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David"/>
        <w:ind w:end="0"/>
        <w:jc w:val="both"/>
        <w:rPr>
          <w:rFonts w:ascii="David" w:hAnsi="David" w:cs="David"/>
        </w:rPr>
      </w:pPr>
      <w:bookmarkStart w:id="6" w:name="ABSTRACT_START"/>
      <w:bookmarkEnd w:id="6"/>
      <w:r>
        <w:rPr>
          <w:rFonts w:ascii="David" w:hAnsi="David" w:cs="David"/>
          <w:rtl w:val="true"/>
        </w:rPr>
        <w:t xml:space="preserve">הנאשם הורשע על פי הודאתו במסגרת הסדר טיעון בכתב אישום מתוקן בעבירה של כניסה למקום מגורים על מנת לבצע עבירה </w:t>
      </w:r>
      <w:r>
        <w:rPr>
          <w:rFonts w:ascii="David" w:hAnsi="David" w:cs="David"/>
          <w:rtl w:val="true"/>
        </w:rPr>
        <w:t>–</w:t>
      </w:r>
      <w:r>
        <w:rPr>
          <w:rFonts w:ascii="David" w:hAnsi="David" w:cs="David"/>
          <w:rtl w:val="true"/>
        </w:rPr>
        <w:t xml:space="preserve"> עבירה לפי סעיף </w:t>
      </w:r>
      <w:r>
        <w:rPr>
          <w:rFonts w:cs="David" w:ascii="David" w:hAnsi="David"/>
        </w:rPr>
        <w:t>405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ד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406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ל</w:t>
      </w:r>
      <w:hyperlink r:id="rId2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ז </w:t>
      </w:r>
      <w:r>
        <w:rPr>
          <w:rFonts w:ascii="David" w:hAnsi="David" w:cs="David"/>
          <w:rtl w:val="true"/>
        </w:rPr>
        <w:t>–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bookmarkStart w:id="7" w:name="ABSTRACT_END"/>
      <w:bookmarkEnd w:id="7"/>
      <w:r>
        <w:rPr>
          <w:rFonts w:ascii="David" w:hAnsi="David" w:cs="David"/>
          <w:rtl w:val="true"/>
        </w:rPr>
        <w:t>הצדדים הגיעו להסדר הטיעון על פיו נמחקו סעיפים משמעותיים מכתב האישום והצדדים גיבשו אף הסדר לעונש כפי שהוצג בפני בית המשפט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בשים לב לנימוקי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לתיקון המשמעותי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להודאת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אני מוצאת שההסדר הינו במתחם הסבירות ועל כן אין מקום להתערב 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אשר על כן ולאחר ששקלתי את השיקולים לחומרה ולקולא הנני גוזרת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מאסר בפועל למשך ששה חודשים אשר ירוצה בעבודות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מפעילה בזאת מאסר מותנה בן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 מ</w:t>
      </w:r>
      <w:hyperlink r:id="rId3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3250/04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 w:cs="David"/>
          <w:rtl w:val="true"/>
        </w:rPr>
        <w:t>שלום באר שבע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כאשר המאסר המותנה יופעל בחופף למאסר שהוטל בסעיף א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כך שבסך הכל ירצה הנאשם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שירוצו בעבודות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מאסר מותנה בן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 למשך שלוש שנים מהיום והתנאי הוא שלא יעבור בתקופה זו על כל עבירת רכוש מסוג 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מאסר מותנה בן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 למשך שלוש שנים מהיום והתנאי הוא שלא יעבור בתקופה זו על כל עבירת רכוש מסוג עוון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/>
          <w:rtl w:val="true"/>
        </w:rPr>
      </w:r>
    </w:p>
    <w:p>
      <w:pPr>
        <w:pStyle w:val="BodyText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הנני קובעת כי הנאשם ירצה את תקופת המאסר שהוטלה עליו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במסגרת עבודות שירות אותן יבצע בבסיס צבאי יחש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 xml:space="preserve">מ דרום </w:t>
      </w:r>
      <w:r>
        <w:rPr>
          <w:sz w:val="24"/>
          <w:sz w:val="24"/>
          <w:szCs w:val="24"/>
          <w:rtl w:val="true"/>
        </w:rPr>
        <w:t>–</w:t>
      </w:r>
      <w:r>
        <w:rPr>
          <w:sz w:val="24"/>
          <w:sz w:val="24"/>
          <w:szCs w:val="24"/>
          <w:rtl w:val="true"/>
        </w:rPr>
        <w:t xml:space="preserve"> מחנה נתן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בפיקוח הממונה על עבודות השירות</w:t>
      </w:r>
      <w:r>
        <w:rPr>
          <w:sz w:val="24"/>
          <w:szCs w:val="24"/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tl w:val="true"/>
        </w:rPr>
        <w:t xml:space="preserve">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 xml:space="preserve">תחילת העבודות יהיה ביום </w:t>
      </w:r>
      <w:r>
        <w:rPr/>
        <w:t>29.6.10</w:t>
      </w:r>
      <w:r>
        <w:rPr>
          <w:rtl w:val="true"/>
        </w:rPr>
        <w:t xml:space="preserve"> </w:t>
      </w:r>
      <w:r>
        <w:rPr>
          <w:rtl w:val="true"/>
        </w:rPr>
        <w:t>כששעות העבודה יהיו בימים א</w:t>
      </w:r>
      <w:r>
        <w:rPr>
          <w:rtl w:val="true"/>
        </w:rPr>
        <w:t>'-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 xml:space="preserve">מהשעה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16:00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ככל שיהיה צורך בשינוי מקום ההשמה יוכל הממונה על עבודות השירות לעשות כן ישירות ולהודיע על כך 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מובהר לנאשם כי ככל שיחול שינוי בכתובת מגוריו</w:t>
      </w:r>
      <w:r>
        <w:rPr>
          <w:rtl w:val="true"/>
        </w:rPr>
        <w:t xml:space="preserve">, </w:t>
      </w:r>
      <w:r>
        <w:rPr>
          <w:rtl w:val="true"/>
        </w:rPr>
        <w:t>חייב הוא לעדכן את משרד הממונה על כך מיידית וכן מובהר</w:t>
      </w:r>
      <w:r>
        <w:rPr>
          <w:rtl w:val="true"/>
        </w:rPr>
        <w:t xml:space="preserve">, </w:t>
      </w:r>
      <w:r>
        <w:rPr>
          <w:rtl w:val="true"/>
        </w:rPr>
        <w:t>כי כל הפרה בעבודות השירות</w:t>
      </w:r>
      <w:r>
        <w:rPr>
          <w:rtl w:val="true"/>
        </w:rPr>
        <w:t xml:space="preserve">, </w:t>
      </w:r>
      <w:r>
        <w:rPr>
          <w:rtl w:val="true"/>
        </w:rPr>
        <w:t>תביא להפסקה מנהלית ולריצוי העונש במאסר ממש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יתייצב ביום שנקבע לתחילת ביצוע העבודות בפני המפקח על 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מפקדת גוש דרום </w:t>
      </w:r>
      <w:r>
        <w:rPr>
          <w:rtl w:val="true"/>
        </w:rPr>
        <w:t>(</w:t>
      </w:r>
      <w:r>
        <w:rPr>
          <w:rtl w:val="true"/>
        </w:rPr>
        <w:t xml:space="preserve">אוטובוס קו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מהתחנה המרכזית</w:t>
      </w:r>
      <w:r>
        <w:rPr>
          <w:rtl w:val="true"/>
        </w:rPr>
        <w:t xml:space="preserve">) </w:t>
      </w:r>
      <w:r>
        <w:rPr>
          <w:rtl w:val="true"/>
        </w:rPr>
        <w:t xml:space="preserve">לא יאוחר מהשעה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לצורך קליטתו והצבתו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 תעביר עותק הפרוטוקול לממונה על עבודות השירות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 סיון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07/06/2010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יעל רז לוי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יעל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רז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לוי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/Users/liorb/Downloads/study2025-p2/SH-08-2757-858.doc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2757-08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 xml:space="preserve">מדינת ישראל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 xml:space="preserve">לשכת תביעות מרחב נגב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באר שבע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אושרי ברקוביץ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uppressLineNumbers/>
      <w:spacing w:lineRule="auto" w:line="360"/>
      <w:jc w:val="both"/>
    </w:pPr>
    <w:rPr>
      <w:rFonts w:ascii="Times New Roman" w:hAnsi="Times New Roman" w:eastAsia="Times New Roman" w:cs="Times New Roman"/>
      <w:sz w:val="26"/>
      <w:szCs w:val="2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14;&#1508;%203250/04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2010-06-11T09:37:00Z</dcterms:created>
  <dc:creator> </dc:creator>
  <dc:description/>
  <cp:keywords/>
  <dc:language>en-IL</dc:language>
  <cp:lastModifiedBy>einat</cp:lastModifiedBy>
  <dcterms:modified xsi:type="dcterms:W3CDTF">2010-10-06T14:30:00Z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- לשכת תביעות מרחב נגב - באר שבע</vt:lpwstr>
  </property>
  <property fmtid="{D5CDD505-2E9C-101B-9397-08002B2CF9AE}" pid="3" name="APPELLEE">
    <vt:lpwstr>אושרי ברקוביץ</vt:lpwstr>
  </property>
  <property fmtid="{D5CDD505-2E9C-101B-9397-08002B2CF9AE}" pid="4" name="CITY">
    <vt:lpwstr>ב"ש</vt:lpwstr>
  </property>
  <property fmtid="{D5CDD505-2E9C-101B-9397-08002B2CF9AE}" pid="5" name="DATE">
    <vt:lpwstr>20100607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יעל רז לוי</vt:lpwstr>
  </property>
  <property fmtid="{D5CDD505-2E9C-101B-9397-08002B2CF9AE}" pid="9" name="LAWYER">
    <vt:lpwstr>אסיף גיל;רונן טל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2757</vt:lpwstr>
  </property>
  <property fmtid="{D5CDD505-2E9C-101B-9397-08002B2CF9AE}" pid="23" name="NEWPARTB">
    <vt:lpwstr/>
  </property>
  <property fmtid="{D5CDD505-2E9C-101B-9397-08002B2CF9AE}" pid="24" name="NEWPARTC">
    <vt:lpwstr>08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2757</vt:lpwstr>
  </property>
  <property fmtid="{D5CDD505-2E9C-101B-9397-08002B2CF9AE}" pid="31" name="PROCYEAR">
    <vt:lpwstr>08</vt:lpwstr>
  </property>
  <property fmtid="{D5CDD505-2E9C-101B-9397-08002B2CF9AE}" pid="32" name="PSAKDIN">
    <vt:lpwstr>גזר-דין</vt:lpwstr>
  </property>
  <property fmtid="{D5CDD505-2E9C-101B-9397-08002B2CF9AE}" pid="33" name="RemarkFileName">
    <vt:lpwstr>shalom sh 08 2757 858 htm</vt:lpwstr>
  </property>
  <property fmtid="{D5CDD505-2E9C-101B-9397-08002B2CF9AE}" pid="34" name="TYPE">
    <vt:lpwstr>3</vt:lpwstr>
  </property>
  <property fmtid="{D5CDD505-2E9C-101B-9397-08002B2CF9AE}" pid="35" name="TYPE_ABS_DATE">
    <vt:lpwstr>380020100607</vt:lpwstr>
  </property>
  <property fmtid="{D5CDD505-2E9C-101B-9397-08002B2CF9AE}" pid="36" name="TYPE_N_DATE">
    <vt:lpwstr>38020100607</vt:lpwstr>
  </property>
  <property fmtid="{D5CDD505-2E9C-101B-9397-08002B2CF9AE}" pid="37" name="VOLUME">
    <vt:lpwstr/>
  </property>
  <property fmtid="{D5CDD505-2E9C-101B-9397-08002B2CF9AE}" pid="38" name="WORDNUMPAGES">
    <vt:lpwstr>2</vt:lpwstr>
  </property>
</Properties>
</file>