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3674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27581-02-13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Header"/>
        <w:spacing w:lineRule="auto" w:line="360"/>
        <w:ind w:end="0"/>
        <w:jc w:val="start"/>
        <w:rPr>
          <w:rFonts w:cs="Times New Roman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ascii="Arial" w:hAnsi="Arial" w:cs="Arial"/>
                <w:b/>
                <w:b/>
                <w:bCs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_GoBack"/>
            <w:bookmarkStart w:id="3" w:name="_GoBack"/>
            <w:bookmarkEnd w:id="3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מחמד מחמוד עודה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בעובדות כתב האישום המתוקן בעבירה של סיוע לייצור נשק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+ 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bookmarkStart w:id="6" w:name="ABSTRACT_END"/>
      <w:bookmarkEnd w:id="6"/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ואלה המעשים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בחודש 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קטין בשם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מהנאשם כמות בנזין בלא להסביר התכלית והנאשם נענה ונתן לו ליטר וחצי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ואחרים הכינו בקבוקי תבערה באמצעות הבנזין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הדליקו אותם וזרקו הבקבוקים 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מיוחס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בסילוואן בו מתגוררת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משפחות יהודיות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קצר אחר כך סיפר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ובחלוף מספר ימים מסר הנאשם למ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 בקבוקי ליטר וחצי מלאים בבנזין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חבורתו של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הכינה שוב בקבוקים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הדליקה אותם וזרקה אותם לעבר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2.1.2013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בערב מסר הנאשם למ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בקבוק בנזין נוסף של ליטר וחצי ששימש למ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וחבורתו להכנת בקבוקי תבערה שהושלכו לעבר בית מיוחס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הוסכם בין הצדדים כי המאשימה תעתור לעונש שלא יפחת משלוש שנות מאסר וכן הפעלת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מ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5919-06-10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המשפט המחוזי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הסנגור יהיה חופשי בטיעוניו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טענה כי הערך המוגן הוא הגנה על החיים ושלום הציבור וכי מעשי הנאשם מהווים פגיעה מהותית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הענישה בעבירה של סיוע לייצור נשק הינו בין </w:t>
      </w:r>
      <w:r>
        <w:rPr>
          <w:rFonts w:cs="Arial" w:ascii="Arial" w:hAnsi="Arial"/>
        </w:rPr>
        <w:t>30-8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ובענייננו מדובר בשני 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הפוטנציאלי הוא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מניע לאומני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וכיוון שלנאשם יש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למד לקח ממאסר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לגזור הדין לפי הרף העליון של המתחם ולהפעיל במצטבר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ובסך הכל לגזור על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טען כי מדובר בסיוע בלבד במדרג נמוך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 המתחם לו טענה המאשימה אינו מתאים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לא היה בשטח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קשור לחוליה ועל כן חלקו מצומצם ומזערי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הפנה לפסיקה בה נגזרו עונשים מתונים על עבירות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חיסכון בזמן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שיש לנאשם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חזר על מעשיו מהעבר וחלקו מצומצם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עתר לעונש מתון ולהפעלת התנאי בחופף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 את עקרון ההלימה שמשמעו אימוץ עקרון הגמול כעקרון מנחה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עולה מהצעת החוק וכן מהפסיקה בה צוין כי עקרון זה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כוכב הצפון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אם כי קיימים כמובן בצידו יסודות הענישה האחרים </w:t>
      </w:r>
      <w:r>
        <w:rPr>
          <w:rFonts w:cs="Arial" w:ascii="Arial" w:hAnsi="Arial"/>
          <w:rtl w:val="true"/>
        </w:rPr>
        <w:t>(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פלוני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 דינו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לבדוק העבירה וכל העולה ממנה ולאחר מכן הנסיבות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בחינת העבירה ונסיבותיה מביאה לקביעת מתחם ענישה ואחר כך יש לבחון הנסיבות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מכתיבה את המתחם ושילוב הנסיבות האישיות במתחם מכתיבים את גזירת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ביצירת המתחם מספר שיקולים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שנפגע מביצוע העבירה ומידת הפגיעה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הקשורות בביצוע העבירה כמפורט בסעיף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ט והם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הצפוי וזה שנגרם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הסיבות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הבנת הנאשם ויכולת להימנע מעבירה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מצוקתו הנפשית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קרבה לסייג אחריות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האכזריות כלפי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ניצול כוח ומעמד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יג 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מורשע בכמה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לכל אירוע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ניתן לגזור עונש בנפרד לכל אירוע או עונש כולל לכל האירועים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ניתן לסטות מהמתחם לקולא אם הנאשם השתקם או שיש סיכויי שיקום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וניתן לחרוג לחומרה אם מדובר בנאשם מסוכן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גזירת הדין תהיה בהתחשב בנסיבות שאינן קשורות בביצוע העבירות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העונש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שנגרמו לנאשם עקב העבירה ומההרשעה 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מאמצים שעשה לתיקון הנזק ולפיצוי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פעולה עם רשויות האכיפה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חיים 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התנהגות חיובית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פלילי או עבר נקי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הערך החברתי המוגן אותו הפר הנאשם הוא ביטחון הציבור ושלומו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מדיניות הענישה הנוהגת על העבירה המושלמת הקשורה בייצור בקבוקי תבערה והשלכתם הינה מגוונת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41921-06-12</w:t>
        </w:r>
      </w:hyperlink>
      <w:r>
        <w:rPr>
          <w:rFonts w:cs="Arial" w:ascii="Arial" w:hAnsi="Arial"/>
          <w:rtl w:val="true"/>
        </w:rPr>
        <w:t xml:space="preserve">);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32597-09-12</w:t>
        </w:r>
      </w:hyperlink>
      <w:r>
        <w:rPr>
          <w:rFonts w:cs="Arial" w:ascii="Arial" w:hAnsi="Arial"/>
          <w:rtl w:val="true"/>
        </w:rPr>
        <w:t xml:space="preserve">);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5919-06-10</w:t>
        </w:r>
      </w:hyperlink>
      <w:r>
        <w:rPr>
          <w:rFonts w:cs="Arial" w:ascii="Arial" w:hAnsi="Arial"/>
          <w:rtl w:val="true"/>
        </w:rPr>
        <w:t xml:space="preserve">); </w:t>
      </w:r>
      <w:r>
        <w:rPr>
          <w:rFonts w:cs="Arial" w:ascii="Arial" w:hAnsi="Arial"/>
        </w:rPr>
        <w:t>40-30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41851-06-12</w:t>
        </w:r>
      </w:hyperlink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סיפק דלק לייצור בקבוקי תבערה פעמיים כשהוא מודע היטב שהם נועדו לייצור בקבוקי תבערה המיועדים לבית מיוחס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בהסתמך על נתונים אלה והנסיבות הללו מתחם הענישה לכל אחד מהאירועים נע בין </w:t>
      </w:r>
      <w:r>
        <w:rPr>
          <w:rFonts w:cs="Arial" w:ascii="Arial" w:hAnsi="Arial"/>
        </w:rPr>
        <w:t>24-8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בעברו שתי הרשעות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האחת בעבירת רכוש והשנייה בעבירות התפרעות והשתתפות בעבירות דומות הקשורות ביידוי בקבוקים וכיו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והוא השתחרר מהכלא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טרם ביצוע העבירות שלפנינו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המאסר לא הרתיעו והוא חזר לסורו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באופן מינורי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לזכותו יש לזקוף הודאה וחיסכון בזמן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 כל אלה יש להדגיש הצורך בגמול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עונש הולם והרתעת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בהתחשב באלה </w:t>
      </w:r>
      <w:r>
        <w:rPr>
          <w:rFonts w:cs="Arial" w:ascii="Arial" w:hAnsi="Arial"/>
          <w:rtl w:val="true"/>
        </w:rPr>
        <w:t>;</w:t>
      </w:r>
      <w:r>
        <w:rPr>
          <w:rFonts w:ascii="Arial" w:hAnsi="Arial" w:cs="Arial"/>
          <w:rtl w:val="true"/>
        </w:rPr>
        <w:t>וכיוון שמדובר בשני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ההולם הינו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אני גוזר על הנאשם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הפעלת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מ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5919-06-10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שהנאשם ירצה בסך הכל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מיום מעצרו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27.1.2013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אותו ירצה אם במשך שלוש שנים מיום שחרורו יעבור עבירה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בתמוז התשע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ביוני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269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צבן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27581-02-13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מחמוד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14;&#1508;&amp;NEWPARTA=5919&amp;NEWPARTB=06&amp;NEWPARTC=10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06;&#1508;%201523/10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inks/psika/?NEWPROC=&#1514;&#1508;&amp;NEWPARTA=41921&amp;NEWPARTB=06&amp;NEWPARTC=12" TargetMode="External"/><Relationship Id="rId8" Type="http://schemas.openxmlformats.org/officeDocument/2006/relationships/hyperlink" Target="http://www.nevo.co.il/links/psika/?NEWPROC=&#1514;&#1508;&amp;NEWPARTA=32597&amp;NEWPARTB=09&amp;NEWPARTC=12" TargetMode="External"/><Relationship Id="rId9" Type="http://schemas.openxmlformats.org/officeDocument/2006/relationships/hyperlink" Target="http://www.nevo.co.il/links/psika/?NEWPROC=&#1514;&#1508;&amp;NEWPARTA=5919&amp;NEWPARTB=06&amp;NEWPARTC=10" TargetMode="External"/><Relationship Id="rId10" Type="http://schemas.openxmlformats.org/officeDocument/2006/relationships/hyperlink" Target="http://www.nevo.co.il/links/psika/?NEWPROC=&#1514;&#1508;&amp;NEWPARTA=41851&amp;NEWPARTB=06&amp;NEWPARTC=12" TargetMode="External"/><Relationship Id="rId11" Type="http://schemas.openxmlformats.org/officeDocument/2006/relationships/hyperlink" Target="http://www.nevo.co.il/links/psika/?NEWPROC=&#1514;&#1508;&amp;NEWPARTA=5919&amp;NEWPARTB=06&amp;NEWPARTC=10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2013-06-30T06:44:00Z</dcterms:created>
  <dc:creator> </dc:creator>
  <dc:description/>
  <cp:keywords/>
  <dc:language>en-IL</dc:language>
  <cp:lastModifiedBy>hofit</cp:lastModifiedBy>
  <dcterms:modified xsi:type="dcterms:W3CDTF">2013-06-30T06:44:00Z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מחמוד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20130624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יעקב צבן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27581</vt:lpwstr>
  </property>
  <property fmtid="{D5CDD505-2E9C-101B-9397-08002B2CF9AE}" pid="20" name="NEWPARTB">
    <vt:lpwstr>02</vt:lpwstr>
  </property>
  <property fmtid="{D5CDD505-2E9C-101B-9397-08002B2CF9AE}" pid="21" name="NEWPARTC">
    <vt:lpwstr>13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390020130624</vt:lpwstr>
  </property>
  <property fmtid="{D5CDD505-2E9C-101B-9397-08002B2CF9AE}" pid="32" name="TYPE_N_DATE">
    <vt:lpwstr>39020130624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