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4"/>
        <w:gridCol w:w="2206"/>
        <w:gridCol w:w="327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360"/>
              <w:ind w:hanging="567" w:start="567" w:end="0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 w:val="22"/>
                <w:szCs w:val="22"/>
                <w:rtl w:val="true"/>
              </w:rPr>
              <w:t>בית המשפט המחוזי בחיפה</w:t>
            </w:r>
          </w:p>
        </w:tc>
      </w:tr>
      <w:tr>
        <w:trPr>
          <w:trHeight w:val="671" w:hRule="atLeast"/>
        </w:trPr>
        <w:tc>
          <w:tcPr>
            <w:tcW w:w="3244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27584-11-15</w:t>
            </w:r>
          </w:p>
          <w:p>
            <w:pPr>
              <w:pStyle w:val="Normal"/>
              <w:ind w:end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ג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rtl w:val="true"/>
              </w:rPr>
              <w:t>'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האד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ascii="Calibri" w:hAnsi="Calibri" w:cs="Calibri"/>
                <w:b/>
                <w:b/>
                <w:bCs/>
                <w:sz w:val="22"/>
                <w:sz w:val="22"/>
                <w:szCs w:val="22"/>
                <w:rtl w:val="true"/>
              </w:rPr>
              <w:t>חוסין</w:t>
            </w:r>
          </w:p>
        </w:tc>
        <w:tc>
          <w:tcPr>
            <w:tcW w:w="2206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end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2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26.6.2016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495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נשיא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49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632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טל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עופר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>
          <w:trHeight w:val="1166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868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ג</w:t>
            </w:r>
            <w:r>
              <w:rPr>
                <w:b/>
                <w:bCs/>
                <w:sz w:val="22"/>
                <w:rtl w:val="true"/>
                <w:lang w:eastAsia="he-IL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חוסין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ת</w:t>
            </w:r>
            <w:r>
              <w:rPr>
                <w:b/>
                <w:bCs/>
                <w:sz w:val="22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lang w:eastAsia="he-IL"/>
              </w:rPr>
              <w:t>xxxxxxxxx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lang w:eastAsia="he-IL"/>
              </w:rPr>
              <w:t>1969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רון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אבישור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rFonts w:cs="Times New Roman"/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hanging="567" w:start="567" w:end="0"/>
              <w:jc w:val="both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הנאשם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8" w:name="PsakDin"/>
      <w:bookmarkStart w:id="9" w:name="LawTable_End"/>
      <w:bookmarkEnd w:id="8"/>
      <w:bookmarkEnd w:id="9"/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bookmarkStart w:id="10" w:name="PsakDin"/>
      <w:bookmarkEnd w:id="10"/>
      <w:r>
        <w:rPr>
          <w:bCs/>
          <w:sz w:val="22"/>
          <w:sz w:val="22"/>
          <w:rtl w:val="true"/>
        </w:rPr>
        <w:t>א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ההליך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שנשמעו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ארבעה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עדים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הודיעו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במסגרת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ההסדר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נגד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מתוקן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המפורטות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הסדר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הטיעון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והוסכם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טיעון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חופשי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sz w:val="22"/>
          <w:rtl w:val="true"/>
        </w:rPr>
        <w:t>ב</w:t>
      </w:r>
      <w:r>
        <w:rPr>
          <w:bCs/>
          <w:sz w:val="22"/>
          <w:rtl w:val="true"/>
        </w:rPr>
        <w:t xml:space="preserve">.  </w:t>
      </w:r>
      <w:r>
        <w:rPr>
          <w:bCs/>
          <w:sz w:val="22"/>
          <w:sz w:val="22"/>
          <w:rtl w:val="true"/>
        </w:rPr>
        <w:t>כתב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>.</w:t>
        <w:tab/>
      </w:r>
      <w:bookmarkStart w:id="11" w:name="ABSTRACT_START"/>
      <w:bookmarkEnd w:id="11"/>
      <w:r>
        <w:rPr>
          <w:rFonts w:ascii="Calibri" w:hAnsi="Calibri" w:cs="Calibri"/>
          <w:sz w:val="22"/>
          <w:sz w:val="22"/>
          <w:rtl w:val="true"/>
        </w:rPr>
        <w:t>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לאירוע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שאירע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בתאריך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29.10.2015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נטען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בעקבות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הסכמה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מוקדמת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הצטיידו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ascii="Calibri" w:hAnsi="Calibri" w:cs="Calibri"/>
          <w:sz w:val="22"/>
          <w:sz w:val="22"/>
          <w:rtl w:val="true"/>
        </w:rPr>
        <w:t>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באקדח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והחליפו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לוחיות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הזיהוי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במכוניתו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</w:t>
      </w:r>
      <w:r>
        <w:rPr>
          <w:rFonts w:ascii="Calibri" w:hAnsi="Calibri" w:cs="Calibri"/>
          <w:sz w:val="22"/>
          <w:sz w:val="22"/>
          <w:rtl w:val="true"/>
        </w:rPr>
        <w:t>פרטית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בשעה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17:40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הצהריים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נכנסו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השניים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חנא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ובאיומי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דרשו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מהאדם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ששהה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להלן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המתלונן</w:t>
      </w:r>
      <w:r>
        <w:rPr>
          <w:rFonts w:cs="Calibri" w:ascii="Calibri" w:hAnsi="Calibri"/>
          <w:sz w:val="22"/>
          <w:rtl w:val="true"/>
        </w:rPr>
        <w:t xml:space="preserve">") </w:t>
      </w:r>
      <w:r>
        <w:rPr>
          <w:rFonts w:ascii="Calibri" w:hAnsi="Calibri" w:cs="Calibri"/>
          <w:sz w:val="22"/>
          <w:sz w:val="22"/>
          <w:rtl w:val="true"/>
        </w:rPr>
        <w:t>למסור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ברשותו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המתלונן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נענה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לדרישתם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10,000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נמלטו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במכוניתו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נהג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להימלט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עקב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עומס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הרכב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הכביש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המתלונן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שרץ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וצעק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גנבו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כספו</w:t>
      </w:r>
      <w:r>
        <w:rPr>
          <w:rFonts w:cs="Calibri" w:ascii="Calibri" w:hAnsi="Calibri"/>
          <w:sz w:val="22"/>
          <w:rtl w:val="true"/>
        </w:rPr>
        <w:t>,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הגיע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למכונית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ובהיותו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קרוב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לדלת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הנהג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שלף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ירייה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באוויר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להפחיד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המתלונן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וסאבר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ברחו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מהמקום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באמצעות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המכונית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העובדות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שפורטו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בכתב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הבאות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א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ז</w:t>
      </w:r>
      <w:r>
        <w:rPr>
          <w:rFonts w:ascii="Calibri" w:hAnsi="Calibri" w:cs="Calibri"/>
          <w:sz w:val="22"/>
          <w:sz w:val="22"/>
          <w:rtl w:val="true"/>
        </w:rPr>
        <w:t xml:space="preserve"> – </w:t>
      </w:r>
      <w:r>
        <w:rPr>
          <w:rFonts w:cs="Calibri" w:ascii="Calibri" w:hAnsi="Calibri"/>
          <w:sz w:val="22"/>
        </w:rPr>
        <w:t>1977</w:t>
      </w:r>
      <w:r>
        <w:rPr>
          <w:rFonts w:cs="Calibri" w:ascii="Calibri" w:hAnsi="Calibri"/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נשיאת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והובלתו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סעיפים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סיפא</w:t>
      </w:r>
      <w:r>
        <w:rPr>
          <w:rFonts w:cs="Calibri" w:ascii="Calibri" w:hAnsi="Calibri"/>
          <w:sz w:val="22"/>
          <w:rtl w:val="true"/>
        </w:rPr>
        <w:t xml:space="preserve">) </w:t>
      </w:r>
      <w:hyperlink r:id="rId1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ג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קשירת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ד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זיוף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סימני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שיהוי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רכב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'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ה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ירי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באזור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340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'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sz w:val="22"/>
          <w:rtl w:val="true"/>
        </w:rPr>
        <w:t>ג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גזר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דינו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של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סאבר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משפטו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בנפרד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u w:val="single"/>
          </w:rPr>
          <w:t>27685-11-15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סעב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13.6.2016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למסקנה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למתלונן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sz w:val="22"/>
          <w:rtl w:val="true"/>
        </w:rPr>
        <w:t>ד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תסקיר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המבחן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קודם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שבאתי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לשמוע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ראיות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וטענותיהם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להשית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הורתי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להגיש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  <w:rtl w:val="true"/>
        </w:rPr>
        <w:tab/>
      </w:r>
      <w:r>
        <w:rPr>
          <w:rFonts w:ascii="Calibri" w:hAnsi="Calibri" w:cs="Calibri"/>
          <w:sz w:val="22"/>
          <w:sz w:val="22"/>
          <w:rtl w:val="true"/>
        </w:rPr>
        <w:t>בתסקיר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קצינת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נסיבותיו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האישיות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והמשפחתיות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מהתסקיר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מסוכנים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הסוציו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אקונומי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קשה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יליד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1969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לחייו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ואולם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רקע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התמכרותו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לסמים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מאז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עובד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מפרנס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משפחתו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ומתקיים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מקצבת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המוסד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לביטוח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לאומי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הרשעות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קודמות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ריצה</w:t>
      </w:r>
      <w:r>
        <w:rPr>
          <w:rFonts w:ascii="Calibri" w:hAnsi="Calibri" w:cs="Calibri"/>
          <w:sz w:val="22"/>
          <w:sz w:val="22"/>
          <w:rtl w:val="true"/>
        </w:rPr>
        <w:t xml:space="preserve"> 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בעבודות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ובגין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אחרת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בהסתמך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שעמדו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לפניה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קצינת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סבורה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</w:t>
      </w:r>
      <w:r>
        <w:rPr>
          <w:rFonts w:ascii="Calibri" w:hAnsi="Calibri" w:cs="Calibri"/>
          <w:sz w:val="22"/>
          <w:sz w:val="22"/>
          <w:rtl w:val="true"/>
        </w:rPr>
        <w:t>קיים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משמעותית</w:t>
      </w:r>
      <w:r>
        <w:rPr>
          <w:rFonts w:cs="Calibri" w:ascii="Calibri" w:hAnsi="Calibri"/>
          <w:sz w:val="22"/>
          <w:rtl w:val="true"/>
        </w:rPr>
        <w:t xml:space="preserve">". </w:t>
      </w:r>
      <w:r>
        <w:rPr>
          <w:rFonts w:ascii="Calibri" w:hAnsi="Calibri" w:cs="Calibri"/>
          <w:sz w:val="22"/>
          <w:sz w:val="22"/>
          <w:rtl w:val="true"/>
        </w:rPr>
        <w:t>בסיפא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לתסקיר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קצינת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הערכת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בהמלצה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לחלופת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שתסייע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בהפחתת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הסיכון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התנהלות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עוברת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בעתיד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sz w:val="22"/>
          <w:rtl w:val="true"/>
        </w:rPr>
        <w:t>ה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תמצית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טענות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באי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כוח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הצדדים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להפחיד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ולהרחיקו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ולסאבר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ולהשקפתו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>
          <w:bCs/>
          <w:sz w:val="22"/>
        </w:rPr>
      </w:pPr>
      <w:r>
        <w:rPr>
          <w:bCs/>
          <w:sz w:val="22"/>
          <w:sz w:val="22"/>
          <w:rtl w:val="true"/>
        </w:rPr>
        <w:t>ו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ריבוי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עבירות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בנפרד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יחפפו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יצטברו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לזה</w:t>
      </w:r>
      <w:r>
        <w:rPr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/>
      </w:pPr>
      <w:r>
        <w:rPr>
          <w:bCs/>
          <w:sz w:val="22"/>
          <w:sz w:val="22"/>
          <w:rtl w:val="true"/>
        </w:rPr>
        <w:t>ז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מתחם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העונש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ההלימה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'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פורטו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שונות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שאינן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מהוות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רשימה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סגורה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משפיעות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בהתייחס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שלפני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להביא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היתר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הבאות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א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התכנון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שקדם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כרוך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בהצטיידות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ובזיוף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לוחיות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הזיהוי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מכוניתו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היחסי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החמורות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שבוצעו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המיוחדת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לייחס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לעומת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שהשתמש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המנוסה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ג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כתוצאה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במיוחד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העובדה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מצוידים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הנזק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שעלול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להיגרם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כתוצאה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המנוסה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</w:rPr>
        <w:t>13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כתובה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בספר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החוקים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רבים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להגדרתה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החל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טלפון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וחטיפת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תיקים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וכלה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המבוצעות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תכנון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מוקדם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בתחכום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בחבורה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באלימות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>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ספקטרום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המקרים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המקיימים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השוד בוצע על ידי שני אנשים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הנאשם וחברו סאבר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שהיו חמושים באקדח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ובמהלך המנוסה נעשה שימוש בנשק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כדי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לאפשר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מנוסתו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ומנוסת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cs="Calibri" w:ascii="Calibri" w:hAnsi="Calibri"/>
          <w:sz w:val="22"/>
          <w:rtl w:val="true"/>
        </w:rPr>
        <w:t>.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 ועוד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עד היום הכסף שנשדד לא הוחזר לבעליו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14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כאמור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בעניינו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60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ואולם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באקדח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מצדיק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גבוה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לאחר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ששקלתי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טענות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כוח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הצדדים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ובהתחשב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ברמת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הענישה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הנוהגת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שבוצעו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דומות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הצריכות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לעניין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הנני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קובע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להטיל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/>
      </w:pPr>
      <w:r>
        <w:rPr>
          <w:bCs/>
          <w:sz w:val="22"/>
          <w:sz w:val="22"/>
          <w:rtl w:val="true"/>
        </w:rPr>
        <w:t>ח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סטייה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ממתחם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העונש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ההולם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15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רשאי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לחרוג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מצא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במקרה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שכזה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רשאי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לקבוע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שיקומו</w:t>
      </w:r>
      <w:r>
        <w:rPr>
          <w:rFonts w:cs="Calibri" w:ascii="Calibri" w:hAnsi="Calibri"/>
          <w:sz w:val="22"/>
          <w:rtl w:val="true"/>
        </w:rPr>
        <w:t xml:space="preserve">", </w:t>
      </w:r>
      <w:r>
        <w:rPr>
          <w:rFonts w:ascii="Calibri" w:hAnsi="Calibri" w:cs="Calibri"/>
          <w:sz w:val="22"/>
          <w:sz w:val="22"/>
          <w:rtl w:val="true"/>
        </w:rPr>
        <w:t>וכן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מוסמך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המשפט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להורות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נקיטת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אמצעי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שיקום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העמדת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במבחן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ניתן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לחרוג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ההולם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גם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כאשר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סיכוי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ממש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לשיקומו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מעשה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ומידת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אשמו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בעלי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יתרה</w:t>
      </w:r>
      <w:r>
        <w:rPr>
          <w:rFonts w:cs="Calibri" w:ascii="Calibri" w:hAnsi="Calibri"/>
          <w:sz w:val="22"/>
          <w:rtl w:val="true"/>
        </w:rPr>
        <w:t>".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rtl w:val="true"/>
        </w:rPr>
        <w:t>אפילו היה מקום להניח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start="-340" w:end="0"/>
        <w:jc w:val="both"/>
        <w:rPr/>
      </w:pPr>
      <w:r>
        <w:rPr>
          <w:bCs/>
          <w:sz w:val="22"/>
          <w:sz w:val="22"/>
          <w:rtl w:val="true"/>
        </w:rPr>
        <w:t>ט</w:t>
      </w:r>
      <w:r>
        <w:rPr>
          <w:bCs/>
          <w:sz w:val="22"/>
          <w:rtl w:val="true"/>
        </w:rPr>
        <w:t xml:space="preserve">. </w:t>
      </w:r>
      <w:r>
        <w:rPr>
          <w:bCs/>
          <w:sz w:val="22"/>
          <w:sz w:val="22"/>
          <w:rtl w:val="true"/>
        </w:rPr>
        <w:t>קביעת</w:t>
      </w:r>
      <w:r>
        <w:rPr>
          <w:rFonts w:cs="Times New Roman"/>
          <w:bCs/>
          <w:sz w:val="22"/>
          <w:sz w:val="22"/>
          <w:rtl w:val="true"/>
        </w:rPr>
        <w:t xml:space="preserve"> </w:t>
      </w:r>
      <w:r>
        <w:rPr>
          <w:bCs/>
          <w:sz w:val="22"/>
          <w:sz w:val="22"/>
          <w:rtl w:val="true"/>
        </w:rPr>
        <w:t>העונש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bCs/>
          <w:sz w:val="22"/>
        </w:rPr>
      </w:pPr>
      <w:r>
        <w:rPr>
          <w:rFonts w:cs="Calibri" w:ascii="Calibri" w:hAnsi="Calibri"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17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לחובת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לזקוף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חומרת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שבוצעו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ובעיקר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ביצוע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בנסיבות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מחמירות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שהשוד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בוצע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בצוותא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והן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משום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מצוייד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נשק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כמו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לזקוף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לחובת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החומרה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החזקת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ונשיאתו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שנעשה בכלי הנשק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במהלך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ההימלטות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מזירת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השוד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ובנוסף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הפלילי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לזכות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לזקוף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הודאתו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בשלבי</w:t>
      </w:r>
      <w:r>
        <w:rPr>
          <w:rFonts w:ascii="Calibri" w:hAnsi="Calibri" w:cs="Calibri"/>
          <w:sz w:val="22"/>
          <w:sz w:val="22"/>
          <w:rtl w:val="true"/>
        </w:rPr>
        <w:t>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המוקדמים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ההליך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מצבו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הכלכלי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הקשה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18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sz w:val="22"/>
          <w:sz w:val="22"/>
          <w:rtl w:val="true"/>
        </w:rPr>
        <w:t>חברו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נדון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42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אך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חלקו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שלפני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השימוש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בכלי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מתבקש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שעונשו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יותר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זאת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בקביעת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מביא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בחשבון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שהוטל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סאבר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Calibri" w:ascii="Calibri" w:hAnsi="Calibri"/>
          <w:sz w:val="22"/>
        </w:rPr>
        <w:t>19</w:t>
      </w:r>
      <w:r>
        <w:rPr>
          <w:rFonts w:cs="Calibri" w:ascii="Calibri" w:hAnsi="Calibri"/>
          <w:sz w:val="22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כן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לאחר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ששקלתי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טענות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באי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כוח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הצדדים</w:t>
      </w:r>
      <w:r>
        <w:rPr>
          <w:rFonts w:cs="Calibri" w:ascii="Calibri" w:hAnsi="Calibri"/>
          <w:b/>
          <w:bCs/>
          <w:sz w:val="22"/>
          <w:rtl w:val="true"/>
        </w:rPr>
        <w:t>,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ואת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הצריכות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לעניין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הנני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מחליט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כדלקמן</w:t>
      </w:r>
      <w:r>
        <w:rPr>
          <w:rFonts w:cs="Calibri" w:ascii="Calibri" w:hAnsi="Calibri"/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  <w:b/>
          <w:bCs/>
          <w:sz w:val="22"/>
        </w:rPr>
      </w:pPr>
      <w:r>
        <w:rPr>
          <w:rFonts w:cs="Calibri" w:ascii="Calibri" w:hAnsi="Calibri"/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א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הנני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76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שבעים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ושישה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מתוכם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52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חמישים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ושניים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והיתר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24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עשרים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וארבעה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חודשים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לריצוי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תנאי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והתנאי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שבמשך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שלוש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שנים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יעבור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הבאות</w:t>
      </w:r>
      <w:r>
        <w:rPr>
          <w:rFonts w:cs="Calibri" w:ascii="Calibri" w:hAnsi="Calibri"/>
          <w:sz w:val="22"/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1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שוד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עבירת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גופו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אדם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כל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מסוג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פשע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יסוד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שליחת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ברכושו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הזולת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לרבות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עבירות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התפרצות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מגורים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בתי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עסק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תפילה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מתקופת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לרצות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האמור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בסעיף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קטן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א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>שלעיל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תנוכה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שמיום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2.11.2015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ועד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היא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התקופה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היה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נתון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במעצר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במתקן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כליאה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ג</w:t>
      </w:r>
      <w:r>
        <w:rPr>
          <w:rFonts w:cs="Calibri" w:ascii="Calibri" w:hAnsi="Calibri"/>
          <w:sz w:val="22"/>
          <w:rtl w:val="true"/>
        </w:rPr>
        <w:t>)</w:t>
        <w:tab/>
      </w:r>
      <w:r>
        <w:rPr>
          <w:rFonts w:ascii="Calibri" w:hAnsi="Calibri" w:cs="Calibri"/>
          <w:sz w:val="22"/>
          <w:sz w:val="22"/>
          <w:rtl w:val="true"/>
        </w:rPr>
        <w:t>הנני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מחייב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לשלם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פיצויים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8,000</w:t>
      </w:r>
      <w:r>
        <w:rPr>
          <w:rFonts w:cs="Calibri" w:ascii="Calibri" w:hAnsi="Calibri"/>
          <w:sz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rtl w:val="true"/>
        </w:rPr>
        <w:t>שמונת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אלפים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לבעל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תצוגת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אבו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אל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חסאן</w:t>
      </w:r>
      <w:r>
        <w:rPr>
          <w:rFonts w:cs="Calibri" w:ascii="Calibri" w:hAnsi="Calibri"/>
          <w:sz w:val="22"/>
          <w:rtl w:val="true"/>
        </w:rPr>
        <w:t xml:space="preserve">" </w:t>
      </w:r>
      <w:r>
        <w:rPr>
          <w:rFonts w:ascii="Calibri" w:hAnsi="Calibri" w:cs="Calibri"/>
          <w:sz w:val="22"/>
          <w:sz w:val="22"/>
          <w:rtl w:val="true"/>
        </w:rPr>
        <w:t>שבישוב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דיר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חנא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הפיצוי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בתוך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150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ימים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מהיום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שאם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ישא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תוספות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פיגורים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בחוק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ניתן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היום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בסיוון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תשע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cs="Calibri" w:ascii="Calibri" w:hAnsi="Calibri"/>
          <w:b/>
          <w:bCs/>
          <w:sz w:val="22"/>
        </w:rPr>
        <w:t>26.6.2016</w:t>
      </w:r>
      <w:r>
        <w:rPr>
          <w:rFonts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והודע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בפומבי</w:t>
      </w:r>
      <w:r>
        <w:rPr>
          <w:rFonts w:cs="Calibri" w:ascii="Calibri" w:hAnsi="Calibri"/>
          <w:b/>
          <w:bCs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/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בירושלים</w:t>
      </w:r>
      <w:r>
        <w:rPr>
          <w:sz w:val="22"/>
          <w:rtl w:val="true"/>
        </w:rPr>
        <w:t>.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כהן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680" w:top="1701" w:footer="72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27584-11-15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האד בן חמד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Style12">
    <w:name w:val="פסק דין תו"/>
    <w:qFormat/>
    <w:rPr>
      <w:rFonts w:cs="David"/>
      <w:color w:val="404040"/>
      <w:sz w:val="22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סק דין"/>
    <w:basedOn w:val="Normal"/>
    <w:qFormat/>
    <w:pPr>
      <w:bidi w:val="0"/>
      <w:spacing w:lineRule="auto" w:line="360"/>
      <w:ind w:hanging="567" w:start="567" w:end="0"/>
      <w:jc w:val="both"/>
    </w:pPr>
    <w:rPr>
      <w:color w:val="404040"/>
      <w:sz w:val="22"/>
    </w:rPr>
  </w:style>
  <w:style w:type="paragraph" w:styleId="Style14">
    <w:name w:val="כותרת פרק"/>
    <w:basedOn w:val="Normal"/>
    <w:qFormat/>
    <w:pPr>
      <w:spacing w:lineRule="auto" w:line="360"/>
      <w:ind w:hanging="0" w:start="-340" w:end="0"/>
      <w:jc w:val="both"/>
    </w:pPr>
    <w:rPr>
      <w:bCs/>
      <w:sz w:val="22"/>
    </w:rPr>
  </w:style>
  <w:style w:type="paragraph" w:styleId="Style15">
    <w:name w:val="שמות"/>
    <w:basedOn w:val="Normal"/>
    <w:qFormat/>
    <w:pPr>
      <w:suppressLineNumbers/>
      <w:overflowPunct w:val="false"/>
      <w:autoSpaceDE w:val="false"/>
      <w:textAlignment w:val="baseline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13i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13i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723643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d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2016-12-01T14:57:00Z</dcterms:created>
  <dc:creator> </dc:creator>
  <dc:description/>
  <cp:keywords/>
  <dc:language>en-IL</dc:language>
  <cp:lastModifiedBy>hofit</cp:lastModifiedBy>
  <dcterms:modified xsi:type="dcterms:W3CDTF">2016-12-01T14:57:00Z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ג'האד בן חמד חוסין;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20723643</vt:lpwstr>
  </property>
  <property fmtid="{D5CDD505-2E9C-101B-9397-08002B2CF9AE}" pid="9" name="CITY">
    <vt:lpwstr>חי'</vt:lpwstr>
  </property>
  <property fmtid="{D5CDD505-2E9C-101B-9397-08002B2CF9AE}" pid="10" name="DATE">
    <vt:lpwstr>20160626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70301/402.b;144.b;144.c;499.a.1;413i;340a;040i;040d.a</vt:lpwstr>
  </property>
  <property fmtid="{D5CDD505-2E9C-101B-9397-08002B2CF9AE}" pid="15" name="LAWYER">
    <vt:lpwstr>טל עופר;רון אבישור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27584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390020160626</vt:lpwstr>
  </property>
  <property fmtid="{D5CDD505-2E9C-101B-9397-08002B2CF9AE}" pid="34" name="TYPE_N_DATE">
    <vt:lpwstr>39020160626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