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27649-10-11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ארשיד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Style w:val="TimesNewRomanTimesNewRoman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אשר קולה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Style w:val="TimesNewRomanTimesNewRoman"/>
                <w:b/>
                <w:bCs/>
                <w:sz w:val="26"/>
                <w:szCs w:val="26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גיהאד ארשיד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נוכחים</w:t>
      </w:r>
      <w:r>
        <w:rPr>
          <w:b w:val="false"/>
          <w:bCs w:val="false"/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המאשימה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צאלה פרייברג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אבו נסאר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הובא </w:t>
      </w:r>
      <w:r>
        <w:rPr>
          <w:u w:val="none"/>
          <w:rtl w:val="true"/>
        </w:rPr>
        <w:t>[</w:t>
      </w:r>
      <w:r>
        <w:rPr>
          <w:u w:val="none"/>
          <w:rtl w:val="true"/>
        </w:rPr>
        <w:t>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הליווי</w:t>
      </w:r>
      <w:r>
        <w:rPr>
          <w:u w:val="none"/>
          <w:rtl w:val="true"/>
        </w:rPr>
        <w:t>]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3" w:name="Decision1"/>
      <w:bookmarkEnd w:id="3"/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מתיר לנאשם לחזור בו מכפירתו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מתיר הגשת כתב אישום 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כתב האישום המתוקן מוגש ומסומן מ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 תסרוק את כתב האישום המתוקן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19/12/2011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אשר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קולה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bookmarkStart w:id="6" w:name="Decision1"/>
      <w:bookmarkEnd w:id="6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סמך הודאת הנאשם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אני מרשיע את הנאשם בעבירות אשר יוחסו לו בכתב האישום המתוקן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ומוצא אותו אשם בדין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19/12/2011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אשר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קולה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firstLine="567" w:start="567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/>
      </w:pPr>
      <w:bookmarkStart w:id="11" w:name="ABSTRACT_START"/>
      <w:bookmarkEnd w:id="11"/>
      <w:r>
        <w:rPr>
          <w:rtl w:val="true"/>
        </w:rPr>
        <w:t>הנאשם הורשע על פי הודאתו בעבירות של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נשיאת נשק והובלת נשק שלא כדין </w:t>
      </w:r>
      <w:r>
        <w:rPr>
          <w:rtl w:val="true"/>
        </w:rPr>
        <w:t>–</w:t>
      </w:r>
      <w:r>
        <w:rPr>
          <w:rtl w:val="true"/>
        </w:rPr>
        <w:t xml:space="preserve"> עבירות 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>סיפא ל</w:t>
      </w:r>
      <w:hyperlink r:id="rId1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החזקת נשק שלא כדין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הפרעה לשוטר בשעת מילוי תפקידו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החזקה ושימוש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 לעובדות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16.10.11</w:t>
      </w:r>
      <w:r>
        <w:rPr>
          <w:rtl w:val="true"/>
        </w:rPr>
        <w:t xml:space="preserve"> </w:t>
      </w:r>
      <w:r>
        <w:rPr>
          <w:rtl w:val="true"/>
        </w:rPr>
        <w:t>נהג הנאשם ברכב מסוג מזדה 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8737056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 xml:space="preserve">בנצרת שברשותו היו כלי נשק ותחמושת הכוללים רובה </w:t>
      </w:r>
      <w:r>
        <w:rPr>
          <w:rtl w:val="true"/>
        </w:rPr>
        <w:t>"</w:t>
      </w:r>
      <w:r>
        <w:rPr>
          <w:rtl w:val="true"/>
        </w:rPr>
        <w:t>קרלבוסטר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כדורים ותרמילים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החזיק הנאשם ברשותו סם מסוכן מסוג קוקאין במשקל של </w:t>
      </w:r>
      <w:r>
        <w:rPr/>
        <w:t>0.2639</w:t>
      </w:r>
      <w:r>
        <w:rPr>
          <w:rtl w:val="true"/>
        </w:rPr>
        <w:t xml:space="preserve"> </w:t>
      </w:r>
      <w:r>
        <w:rPr>
          <w:rtl w:val="true"/>
        </w:rPr>
        <w:t>גרם נטו לצריכה עצמית</w:t>
      </w:r>
      <w:r>
        <w:rPr>
          <w:rtl w:val="true"/>
        </w:rPr>
        <w:t xml:space="preserve">, </w:t>
      </w:r>
      <w:r>
        <w:rPr>
          <w:rtl w:val="true"/>
        </w:rPr>
        <w:t>שלא 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באותו מועד משהבחינו השוטרים בנאשם שהוא נוהג ברכב הנ</w:t>
      </w:r>
      <w:r>
        <w:rPr>
          <w:rtl w:val="true"/>
        </w:rPr>
        <w:t>"</w:t>
      </w:r>
      <w:r>
        <w:rPr>
          <w:rtl w:val="true"/>
        </w:rPr>
        <w:t>ל סימנו לו לעצור ואולם</w:t>
      </w:r>
      <w:r>
        <w:rPr>
          <w:rtl w:val="true"/>
        </w:rPr>
        <w:t xml:space="preserve">, </w:t>
      </w:r>
      <w:r>
        <w:rPr>
          <w:rtl w:val="true"/>
        </w:rPr>
        <w:t>הנאשם נמלט מהם עד אשר פגע באוטובוס שחנה במקום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הודה באופן די מיידי בעובדות כתב האישום והצדדים וכאמור לפרוטוקול לעיל הגיעו לכלל הסדר טיעון אשר כלל ענישה מוסכמת לריצוי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שבחנתי את הסדר הטיעון ואת העונש המוסכם</w:t>
      </w:r>
      <w:r>
        <w:rPr>
          <w:rtl w:val="true"/>
        </w:rPr>
        <w:t xml:space="preserve">, </w:t>
      </w:r>
      <w:r>
        <w:rPr>
          <w:rtl w:val="true"/>
        </w:rPr>
        <w:t>מצאתי כי מדובר בעונש התואם את האינטרס הציבורי</w:t>
      </w:r>
      <w:r>
        <w:rPr>
          <w:rtl w:val="true"/>
        </w:rPr>
        <w:t xml:space="preserve">, </w:t>
      </w:r>
      <w:r>
        <w:rPr>
          <w:rtl w:val="true"/>
        </w:rPr>
        <w:t>תואם את הענישה הנוהגת דרך כלל והתואמת את נסיבותיו של הנאשם שהינו בחור צעיר ונעדר עבר פלילי מכל מן וסוג שהוא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מצאתי לנכון לאשר את הסדר הטיעון ולפיכך אני גוזר על הנאשם את העונשים הבאים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למשך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 xml:space="preserve">אשר ימנה מיום מעצרו </w:t>
      </w:r>
      <w:r>
        <w:rPr/>
        <w:t>16.10.11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והתנאי הוא</w:t>
      </w:r>
      <w:r>
        <w:rPr>
          <w:rtl w:val="true"/>
        </w:rPr>
        <w:t xml:space="preserve">, </w:t>
      </w:r>
      <w:r>
        <w:rPr>
          <w:rtl w:val="true"/>
        </w:rPr>
        <w:t xml:space="preserve">שהנאשם לא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עבירות של נשיאת נשק והובלת 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עבירות לפי </w:t>
      </w:r>
      <w:hyperlink r:id="rId15">
        <w:r>
          <w:rPr>
            <w:rStyle w:val="Hyperlink"/>
            <w:rFonts w:ascii="Times New Roman" w:hAnsi="Times New Roman" w:cs="Times New Roman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</w:rPr>
          <w:t>144</w:t>
        </w:r>
        <w:r>
          <w:rPr>
            <w:rStyle w:val="Hyperlink"/>
            <w:rFonts w:cs="Times New Roman" w:ascii="Times New Roman" w:hAnsi="Times New Roman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על תנאי והתנאי הוא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שהנאשם לא יעבור תוך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 אחת מהעבירות האחרות בהן הורשע הנאשם על פי כתב האישום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למעט עבירה של החזקה ושימוש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ד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קנס בסך </w:t>
      </w:r>
      <w:r>
        <w:rPr>
          <w:rFonts w:cs="Times New Roman" w:ascii="Times New Roman" w:hAnsi="Times New Roman"/>
        </w:rPr>
        <w:t>3,000</w:t>
      </w:r>
      <w:r>
        <w:rPr>
          <w:rFonts w:cs="Times New Roman" w:ascii="Times New Roman" w:hAnsi="Times New Roman"/>
          <w:rtl w:val="true"/>
        </w:rPr>
        <w:t xml:space="preserve"> ₪, </w:t>
      </w:r>
      <w:r>
        <w:rPr>
          <w:rFonts w:ascii="Times New Roman" w:hAnsi="Times New Roman" w:cs="Times New Roman"/>
          <w:rtl w:val="true"/>
        </w:rPr>
        <w:t xml:space="preserve">או </w:t>
      </w:r>
      <w:r>
        <w:rPr>
          <w:rFonts w:cs="Times New Roman" w:ascii="Times New Roman" w:hAnsi="Times New Roman"/>
        </w:rPr>
        <w:t>30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ימי מאסר תמורתם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הקנס ישולם ב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תשלומים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שווים ורצופים שהראשון שבהם יהיה ביום </w:t>
      </w:r>
      <w:r>
        <w:rPr>
          <w:rFonts w:cs="Times New Roman" w:ascii="Times New Roman" w:hAnsi="Times New Roman"/>
        </w:rPr>
        <w:t>1.2.12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ובל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לחודש שלאחריו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אי תשלום אחד התשלומים במועדו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יעמיד את הקנס לפרעון מיידי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ה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תשומת לב שלטונות 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 לבקשת הנאשם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באשר למקום ריצוי עונשו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Times New Roman" w:ascii="Times New Roman" w:hAnsi="Times New Roman"/>
          <w:b/>
          <w:bCs/>
          <w:u w:val="single"/>
        </w:rPr>
        <w:t>45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יום מהיום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  <w:t>&lt;</w:t>
      </w:r>
      <w:r>
        <w:rPr>
          <w:rFonts w:cs="Times New Roman" w:ascii="Times New Roman" w:hAnsi="Times New Roman"/>
          <w:sz w:val="6"/>
          <w:szCs w:val="6"/>
        </w:rPr>
        <w:t>#8#</w:t>
      </w:r>
      <w:r>
        <w:rPr>
          <w:rFonts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19/12/2011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אשר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קולה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הצדדים</w:t>
      </w:r>
      <w:r>
        <w:rPr>
          <w:rtl w:val="true"/>
        </w:rPr>
        <w:t xml:space="preserve">: </w:t>
      </w:r>
      <w:r>
        <w:rPr>
          <w:rtl w:val="true"/>
        </w:rPr>
        <w:t>נבקש להחזיר לנאשם את הרכב מסוג מזדה 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8737056</w:t>
      </w:r>
      <w:r>
        <w:rPr>
          <w:rtl w:val="true"/>
        </w:rPr>
        <w:t xml:space="preserve"> </w:t>
      </w:r>
      <w:r>
        <w:rPr>
          <w:rtl w:val="true"/>
        </w:rPr>
        <w:t>וכן טלפון סלולרי השייך 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לגבי הנשק והסמים </w:t>
      </w:r>
      <w:r>
        <w:rPr>
          <w:rtl w:val="true"/>
        </w:rPr>
        <w:t>–</w:t>
      </w:r>
      <w:r>
        <w:rPr>
          <w:rtl w:val="true"/>
        </w:rPr>
        <w:t xml:space="preserve"> נבקש השמדה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 יתר המוצגים נגיש בקשה מוסכמת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אבקש שהרכב יוחזר לאבי מר חאתם ארשיד 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  </w:t>
      </w:r>
      <w:r>
        <w:rPr/>
        <w:t>xxxxxxxxx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מורה להחזיר את הרכב מסוד מזדה 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8737056</w:t>
      </w:r>
      <w:r>
        <w:rPr>
          <w:rtl w:val="true"/>
        </w:rPr>
        <w:t xml:space="preserve"> </w:t>
      </w:r>
      <w:r>
        <w:rPr>
          <w:rtl w:val="true"/>
        </w:rPr>
        <w:t>לאביו של הנאשם מר חאתם ארשיד 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/>
        <w:t>xxxxxxxxxx</w:t>
      </w:r>
      <w:r>
        <w:rPr>
          <w:rtl w:val="true"/>
        </w:rPr>
        <w:t>וכן טלפון סלולרי השייך 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 xml:space="preserve">התחמושת והסמים </w:t>
      </w:r>
      <w:r>
        <w:rPr>
          <w:rtl w:val="true"/>
        </w:rPr>
        <w:t>–</w:t>
      </w:r>
      <w:r>
        <w:rPr>
          <w:rtl w:val="true"/>
        </w:rPr>
        <w:t xml:space="preserve"> להשמדה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למוצגים אחרים וככל שקיימים כאלה</w:t>
      </w:r>
      <w:r>
        <w:rPr>
          <w:rtl w:val="true"/>
        </w:rPr>
        <w:t xml:space="preserve">, </w:t>
      </w:r>
      <w:r>
        <w:rPr>
          <w:rtl w:val="true"/>
        </w:rPr>
        <w:t>יגישו הצדדים בקשה מוסכמת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19/12/2011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אשר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קולה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מורה על ביטול ישיבת ההוכחות הקבועה בפני כב</w:t>
      </w:r>
      <w:r>
        <w:rPr>
          <w:rtl w:val="true"/>
        </w:rPr>
        <w:t xml:space="preserve">' </w:t>
      </w:r>
      <w:r>
        <w:rPr>
          <w:rtl w:val="true"/>
        </w:rPr>
        <w:t>סגן הנשיא</w:t>
      </w:r>
      <w:r>
        <w:rPr>
          <w:rtl w:val="true"/>
        </w:rPr>
        <w:t xml:space="preserve">, </w:t>
      </w:r>
      <w:r>
        <w:rPr>
          <w:rtl w:val="true"/>
        </w:rPr>
        <w:t xml:space="preserve">השופט כתילי ליום </w:t>
      </w:r>
      <w:r>
        <w:rPr/>
        <w:t>21.12.11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יחידת הליווי לא תביא את הנאשם למועד הנ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#12#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19/12/2011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אשר קולה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אשר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קולה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27649-10-11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גיהאד ארשיד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.a.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275" TargetMode="External"/><Relationship Id="rId13" Type="http://schemas.openxmlformats.org/officeDocument/2006/relationships/hyperlink" Target="http://www.nevo.co.il/law/4216/7.a.;7.c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2016-05-28T20:32:00Z</dcterms:created>
  <dc:creator> </dc:creator>
  <dc:description/>
  <cp:keywords/>
  <dc:language>en-IL</dc:language>
  <cp:lastModifiedBy>yafit</cp:lastModifiedBy>
  <dcterms:modified xsi:type="dcterms:W3CDTF">2016-05-28T20:32:00Z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גיהאד ארשיד</vt:lpwstr>
  </property>
  <property fmtid="{D5CDD505-2E9C-101B-9397-08002B2CF9AE}" pid="4" name="CITY">
    <vt:lpwstr>נצ'</vt:lpwstr>
  </property>
  <property fmtid="{D5CDD505-2E9C-101B-9397-08002B2CF9AE}" pid="5" name="DATE">
    <vt:lpwstr>20111219</vt:lpwstr>
  </property>
  <property fmtid="{D5CDD505-2E9C-101B-9397-08002B2CF9AE}" pid="6" name="ISABSTRACT">
    <vt:lpwstr>Y</vt:lpwstr>
  </property>
  <property fmtid="{D5CDD505-2E9C-101B-9397-08002B2CF9AE}" pid="7" name="JUDGE">
    <vt:lpwstr>אשר קולה</vt:lpwstr>
  </property>
  <property fmtid="{D5CDD505-2E9C-101B-9397-08002B2CF9AE}" pid="8" name="LAWLISTTMP1">
    <vt:lpwstr>70301/144.b:2;144.a;275</vt:lpwstr>
  </property>
  <property fmtid="{D5CDD505-2E9C-101B-9397-08002B2CF9AE}" pid="9" name="LAWLISTTMP2">
    <vt:lpwstr>4216/007.a;007.c</vt:lpwstr>
  </property>
  <property fmtid="{D5CDD505-2E9C-101B-9397-08002B2CF9AE}" pid="10" name="LAWYER">
    <vt:lpwstr>הובא;הובא [ הליווי];צאלה פרייברג;אבו נסאר</vt:lpwstr>
  </property>
  <property fmtid="{D5CDD505-2E9C-101B-9397-08002B2CF9AE}" pid="11" name="NEWPARTA">
    <vt:lpwstr>27649</vt:lpwstr>
  </property>
  <property fmtid="{D5CDD505-2E9C-101B-9397-08002B2CF9AE}" pid="12" name="NEWPARTB">
    <vt:lpwstr>10</vt:lpwstr>
  </property>
  <property fmtid="{D5CDD505-2E9C-101B-9397-08002B2CF9AE}" pid="13" name="NEWPARTC">
    <vt:lpwstr>11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390020111219</vt:lpwstr>
  </property>
  <property fmtid="{D5CDD505-2E9C-101B-9397-08002B2CF9AE}" pid="18" name="TYPE_N_DATE">
    <vt:lpwstr>39020111219</vt:lpwstr>
  </property>
  <property fmtid="{D5CDD505-2E9C-101B-9397-08002B2CF9AE}" pid="19" name="WORDNUMPAGES">
    <vt:lpwstr>4</vt:lpwstr>
  </property>
</Properties>
</file>