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2782-10-12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הזייל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שקורי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שוורץ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חסין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הזייל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תשי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-</w:t>
      </w:r>
      <w:r>
        <w:rPr>
          <w:rFonts w:cs="FrankRuehl" w:ascii="FrankRuehl" w:hAnsi="FrankRuehl"/>
          <w:color w:val="000000"/>
        </w:rPr>
        <w:t>1952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r>
        <w:rPr>
          <w:rFonts w:cs="FrankRuehl" w:ascii="FrankRuehl" w:hAnsi="FrankRuehl"/>
          <w:color w:val="000000"/>
        </w:rPr>
        <w:t>12</w:t>
      </w: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  <w:color w:val="000000"/>
        </w:rPr>
        <w:t>12</w:t>
      </w: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)(</w:t>
      </w: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>)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תשל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ז</w:t>
      </w:r>
      <w:r>
        <w:rPr>
          <w:rFonts w:cs="FrankRuehl" w:ascii="FrankRuehl" w:hAnsi="FrankRuehl"/>
          <w:color w:val="000000"/>
          <w:rtl w:val="true"/>
        </w:rPr>
        <w:t>-</w:t>
      </w:r>
      <w:r>
        <w:rPr>
          <w:rFonts w:cs="FrankRuehl" w:ascii="FrankRuehl" w:hAnsi="FrankRuehl"/>
          <w:color w:val="000000"/>
        </w:rPr>
        <w:t>1977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r>
        <w:rPr>
          <w:rFonts w:cs="FrankRuehl" w:ascii="FrankRuehl" w:hAnsi="FrankRuehl"/>
          <w:color w:val="000000"/>
        </w:rPr>
        <w:t>338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color w:val="000000"/>
          <w:rtl w:val="true"/>
        </w:rPr>
        <w:t>)(</w:t>
      </w: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 ז 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י ן</w:t>
            </w:r>
            <w:bookmarkEnd w:id="2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3" w:name="ABSTRACT_START"/>
      <w:bookmarkEnd w:id="3"/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2.10.12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</w:t>
      </w:r>
      <w:r>
        <w:rPr>
          <w:rtl w:val="true"/>
        </w:rPr>
        <w:t>ו</w:t>
      </w:r>
      <w:r>
        <w:rPr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סתריה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ממסלולם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לכריזת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4" w:name="ABSTRACT_END"/>
      <w:bookmarkStart w:id="5" w:name="ABSTRACT_END"/>
      <w:bookmarkEnd w:id="5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3.1.12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358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וחוות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הממונה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השירות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ומהיר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סוכרת</w:t>
      </w:r>
      <w:r>
        <w:rPr>
          <w:rtl w:val="true"/>
        </w:rPr>
        <w:t xml:space="preserve">,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בעוכריו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</w:t>
      </w:r>
      <w:r>
        <w:rPr>
          <w:rtl w:val="true"/>
        </w:rPr>
        <w:t>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3674/04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12.2.06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5198/01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טלעת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חטיב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tl w:val="true"/>
        </w:rPr>
        <w:t xml:space="preserve">).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13-11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פסקאו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31-17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6217/05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4.9.06</w:t>
      </w:r>
      <w:r>
        <w:rPr>
          <w:rtl w:val="true"/>
        </w:rPr>
        <w:t xml:space="preserve">; </w:t>
      </w: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14.9.09</w:t>
      </w:r>
      <w:r>
        <w:rPr>
          <w:rtl w:val="true"/>
        </w:rPr>
        <w:t xml:space="preserve">; </w:t>
      </w:r>
      <w:hyperlink r:id="rId1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 xml:space="preserve">; </w:t>
      </w:r>
      <w:hyperlink r:id="rId1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2210/11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באזין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24.3.11</w:t>
      </w:r>
      <w:r>
        <w:rPr>
          <w:rtl w:val="true"/>
        </w:rPr>
        <w:t xml:space="preserve">; </w:t>
      </w:r>
      <w:hyperlink r:id="rId2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9301/09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19.11.09</w:t>
      </w:r>
      <w:r>
        <w:rPr>
          <w:rtl w:val="true"/>
        </w:rPr>
        <w:t xml:space="preserve">; </w:t>
      </w:r>
      <w:hyperlink r:id="rId2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30.7.09</w:t>
      </w:r>
      <w:r>
        <w:rPr>
          <w:rtl w:val="true"/>
        </w:rPr>
        <w:t xml:space="preserve">; </w:t>
      </w: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3865/09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;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23.6.09</w:t>
      </w:r>
      <w:r>
        <w:rPr>
          <w:rtl w:val="true"/>
        </w:rPr>
        <w:t xml:space="preserve">; </w:t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8554/08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23.12.08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5861/11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18.8.11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2.15</w:t>
      </w:r>
      <w:r>
        <w:rPr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מעסיקים</w:t>
      </w:r>
      <w:r>
        <w:rPr>
          <w:rtl w:val="true"/>
        </w:rPr>
        <w:t xml:space="preserve">, </w:t>
      </w:r>
      <w:r>
        <w:rPr>
          <w:rtl w:val="true"/>
        </w:rPr>
        <w:t>מסיעים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סטיה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לבצען</w:t>
      </w:r>
      <w:r>
        <w:rPr>
          <w:rtl w:val="true"/>
        </w:rPr>
        <w:t xml:space="preserve">.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סוכרת</w:t>
      </w:r>
      <w:r>
        <w:rPr>
          <w:rtl w:val="true"/>
        </w:rPr>
        <w:t xml:space="preserve">,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tl w:val="true"/>
        </w:rPr>
        <w:t>)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465" w:start="1185" w:end="0"/>
        <w:jc w:val="both"/>
        <w:rPr/>
      </w:pPr>
      <w:r>
        <w:rPr/>
        <w:t>95</w:t>
      </w:r>
      <w:bookmarkStart w:id="6" w:name="_GoBack"/>
      <w:bookmarkEnd w:id="6"/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465" w:start="1185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465" w:start="118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465" w:start="1185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465" w:start="1185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.</w:t>
      </w:r>
      <w:r>
        <w:rPr>
          <w:rFonts w:cs="FrankRuehl" w:ascii="FrankRuehl" w:hAnsi="FrankRuehl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FrankRuehl" w:hAnsi="FrankRuehl" w:cs="FrankRuehl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2782-10-12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על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ידי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חסין אל הזייל על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ידי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185"/>
        </w:tabs>
        <w:ind w:start="1185" w:hanging="465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90721/12a.c.1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law/70301/338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90721/12a.c.1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case/5908341" TargetMode="External"/><Relationship Id="rId11" Type="http://schemas.openxmlformats.org/officeDocument/2006/relationships/hyperlink" Target="http://www.nevo.co.il/case/5999544" TargetMode="External"/><Relationship Id="rId12" Type="http://schemas.openxmlformats.org/officeDocument/2006/relationships/hyperlink" Target="http://www.nevo.co.il/law/90721/12a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law/90721/12a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yperlink" Target="http://www.nevo.co.il/case/5714104" TargetMode="External"/><Relationship Id="rId17" Type="http://schemas.openxmlformats.org/officeDocument/2006/relationships/hyperlink" Target="http://www.nevo.co.il/case/6102737" TargetMode="External"/><Relationship Id="rId18" Type="http://schemas.openxmlformats.org/officeDocument/2006/relationships/hyperlink" Target="http://www.nevo.co.il/case/5801638" TargetMode="External"/><Relationship Id="rId19" Type="http://schemas.openxmlformats.org/officeDocument/2006/relationships/hyperlink" Target="http://www.nevo.co.il/case/5818687" TargetMode="External"/><Relationship Id="rId20" Type="http://schemas.openxmlformats.org/officeDocument/2006/relationships/hyperlink" Target="http://www.nevo.co.il/case/6149835" TargetMode="External"/><Relationship Id="rId21" Type="http://schemas.openxmlformats.org/officeDocument/2006/relationships/hyperlink" Target="http://www.nevo.co.il/case/6032772" TargetMode="External"/><Relationship Id="rId22" Type="http://schemas.openxmlformats.org/officeDocument/2006/relationships/hyperlink" Target="http://www.nevo.co.il/case/5920217" TargetMode="External"/><Relationship Id="rId23" Type="http://schemas.openxmlformats.org/officeDocument/2006/relationships/hyperlink" Target="http://www.nevo.co.il/case/5990789" TargetMode="External"/><Relationship Id="rId24" Type="http://schemas.openxmlformats.org/officeDocument/2006/relationships/hyperlink" Target="http://www.nevo.co.il/case/6132155" TargetMode="External"/><Relationship Id="rId25" Type="http://schemas.openxmlformats.org/officeDocument/2006/relationships/hyperlink" Target="http://www.nevo.co.il/case/6036789" TargetMode="External"/><Relationship Id="rId26" Type="http://schemas.openxmlformats.org/officeDocument/2006/relationships/hyperlink" Target="http://www.nevo.co.il/law/90721" TargetMode="External"/><Relationship Id="rId27" Type="http://schemas.openxmlformats.org/officeDocument/2006/relationships/hyperlink" Target="http://www.nevo.co.il/law/90721/12a" TargetMode="External"/><Relationship Id="rId28" Type="http://schemas.openxmlformats.org/officeDocument/2006/relationships/hyperlink" Target="http://www.nevo.co.il/law/90721/12a.c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38.a.1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2016-04-10T14:09:00Z</dcterms:created>
  <dc:creator> </dc:creator>
  <dc:description/>
  <cp:keywords/>
  <dc:language>en-IL</dc:language>
  <cp:lastModifiedBy>run</cp:lastModifiedBy>
  <dcterms:modified xsi:type="dcterms:W3CDTF">2016-04-10T14:09:00Z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חסין אל הזייל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5908341;5999544;5714104;6102737;5801638;5818687;6149835;6032772;5920217;5990789;6132155;6036789</vt:lpwstr>
  </property>
  <property fmtid="{D5CDD505-2E9C-101B-9397-08002B2CF9AE}" pid="9" name="CITY">
    <vt:lpwstr>רמ'</vt:lpwstr>
  </property>
  <property fmtid="{D5CDD505-2E9C-101B-9397-08002B2CF9AE}" pid="10" name="DATE">
    <vt:lpwstr>20131218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90721/012a.c.1:3;012a:3</vt:lpwstr>
  </property>
  <property fmtid="{D5CDD505-2E9C-101B-9397-08002B2CF9AE}" pid="15" name="LAWLISTTMP2">
    <vt:lpwstr>70301/338.a.1:2</vt:lpwstr>
  </property>
  <property fmtid="{D5CDD505-2E9C-101B-9397-08002B2CF9AE}" pid="16" name="LAWYER">
    <vt:lpwstr>זהר שקורי שוורץ;שוקרי אבו טביק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2782</vt:lpwstr>
  </property>
  <property fmtid="{D5CDD505-2E9C-101B-9397-08002B2CF9AE}" pid="23" name="NEWPARTB">
    <vt:lpwstr>10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380020131218</vt:lpwstr>
  </property>
  <property fmtid="{D5CDD505-2E9C-101B-9397-08002B2CF9AE}" pid="35" name="TYPE_N_DATE">
    <vt:lpwstr>38020131218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