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48"/>
        <w:gridCol w:w="255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9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28148-07-20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שעבאן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אטרש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3331"/>
        <w:gridCol w:w="5388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3.6.2021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Times New Roman"/>
              </w:rPr>
            </w:pPr>
            <w:r>
              <w:rPr>
                <w:rFonts w:cs="Times New Roman" w:ascii="Arial" w:hAnsi="Arial"/>
                <w:rtl w:val="true"/>
              </w:rPr>
            </w:r>
          </w:p>
        </w:tc>
      </w:tr>
      <w:tr>
        <w:trPr/>
        <w:tc>
          <w:tcPr>
            <w:tcW w:w="34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38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4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38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שעבאן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אטרש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דקלה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לוי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דמרי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ירושלים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))</w:t>
      </w:r>
    </w:p>
    <w:p>
      <w:pPr>
        <w:pStyle w:val="12"/>
        <w:spacing w:lineRule="auto" w:line="360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סנא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יר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)‏‏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הממשלה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2001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25.1.2021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1980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144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340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יוסיפו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20.5.2021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הדוואן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הדוואן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עפר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לעיזבון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מוג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הד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הד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2.5.2020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בברדס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כתריסר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שקירותיה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התנפצה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מהזנחה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2008-2005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ולהשלכותיהם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אף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כמוקדי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ושאיפותיו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גיליון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הרשעות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קודמות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ת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גיליון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הרשעות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קודמות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תעבורה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ת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טכניות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מסמכים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שהגיש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המתלונן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היקף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נזקיו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הנטענים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ת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3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כרטסת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גבס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22,230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צילומי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שסכומן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המתלונן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עמ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cs="Calibri" w:ascii="Calibri" w:hAnsi="Calibri"/>
          <w:u w:val="single"/>
        </w:rPr>
        <w:t>16-14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בפרוטוקול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הרמדאן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אשתקד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איפטר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הארוחה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הרמדאן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ובדלתות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החיצוניות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הרמדאן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נבהלים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לדלתות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למדרגות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לקדמותו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העיזבון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עפר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לסלוח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אשר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נגבתה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במשטרה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30.6.2020</w:t>
      </w:r>
      <w:r>
        <w:rPr>
          <w:rFonts w:cs="Calibri" w:ascii="Calibri" w:hAnsi="Calibri"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רשימת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פסקי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ותמצית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>/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עדותה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אשתו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גב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חולוד מג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די אטרש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עמ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cs="David" w:ascii="David" w:hAnsi="David"/>
          <w:u w:val="single"/>
        </w:rPr>
        <w:t>13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בפרוטוקול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אשתו של הנאשם סיפרה כי הנאשם דואג לילדיו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שני בנים בני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ושתי בנות בְּנות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הוא טוב איתם ושומר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הרחקתו מהבית השפיעה עליהם מאד והכאיבה להם וכי המשפחה זקוקה לו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סיפרה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מאז מעצרו היא עובדת בתחום הניקיון בקופת 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 הפרנסה נפל עליה ואף אין לה במי להסתייע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לאפשר לנאשם להתרחק מכל הבעיות שבהן היה מעורב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עברה עם ילדיה לגור בטירה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 ביקשה את רחמי בית המשפט וביקשה כי עונשו של הנאשם לא יהיה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שיוכל לשוב אל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והחנייתו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האיפטר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המוגנים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147/21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ירין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14.2.2021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ובעניין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19.1.2014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 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62238-06-20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שויקי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לומפ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התקהלות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52-26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1427/21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12376-10-18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היילי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6.8.2020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מרשק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מרום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  <w:b/>
          <w:bCs/>
          <w:rtl w:val="true"/>
        </w:rPr>
        <w:t xml:space="preserve">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23.3.2021</w:t>
      </w:r>
      <w:r>
        <w:rPr>
          <w:rFonts w:cs="Calibri" w:ascii="Calibri" w:hAnsi="Calibri"/>
          <w:rtl w:val="true"/>
        </w:rPr>
        <w:t xml:space="preserve"> (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6277/20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18300-11-18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נאשף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7.5.2019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50-20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בנאשם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התרשמותם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הערותיי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זראיעה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21.2.2012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2006/12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אסדי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28.3.2012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3772-01-16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14.11.2016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טובי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9189/16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34526-06-18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כמיל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14.11.2018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בש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42697-05-18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אמיר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בוקאעי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1.11.2018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טובי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11059-05-12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אבו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מוסא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19.5.2013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טל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וחריגות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28360-02-13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אבו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1.12.2013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זלוצ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משכרים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נסיבותיו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ובהכרתו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מרוחק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נושא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הנזק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שנגרם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מהירי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לניצול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בשועפאת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נשמעים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תכופות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החלטת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להשמיט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שנגבתה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בהיותה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בטענותיו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בהסתייגות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הוסדרה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 </w:t>
      </w:r>
      <w:hyperlink r:id="rId32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ד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מהוראת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)(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)(</w:t>
        </w:r>
        <w:r>
          <w:rPr>
            <w:rStyle w:val="Hyperlink"/>
            <w:rFonts w:cs="David" w:ascii="Calibri" w:hAnsi="Calibri"/>
          </w:rPr>
          <w:t>2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רשאי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לבקשת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מהצדדים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להתיר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שוכנע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אפשרות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האשמה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להוראת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ד</w:t>
        </w:r>
        <w:r>
          <w:rPr>
            <w:rStyle w:val="Hyperlink"/>
            <w:rFonts w:cs="David" w:ascii="Calibri" w:hAnsi="Calibri"/>
            <w:rtl w:val="true"/>
          </w:rPr>
          <w:t>).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הפירוט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שתוקן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התשתית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והנסיבתית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המלאה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שעתידה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להיזקק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מופיעות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(...).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שעומדת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בבסיס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שינוי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תוספת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כפופים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לתנאים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המחמירים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הנקובים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)(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(...)"</w:t>
      </w:r>
      <w:r>
        <w:rPr>
          <w:rFonts w:cs="Calibri" w:ascii="Calibri" w:hAnsi="Calibri"/>
          <w:rtl w:val="true"/>
        </w:rPr>
        <w:t xml:space="preserve"> (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858/20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ארבאן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2.7.2020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קרא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1548/17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זיינב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9.8.2017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מלצר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7349/14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פלונית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14.5.2015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16-15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פלונית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שבכוונת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ולהודיע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שכנגד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ההרשעה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במצבים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החדשות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יודיע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כוונתו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שייחתם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הטעם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לדברים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ייתכן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החדשות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להשפיע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לחתום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(...)"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להוראת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)(</w:t>
        </w:r>
        <w:r>
          <w:rPr>
            <w:rStyle w:val="Hyperlink"/>
            <w:rFonts w:cs="David" w:ascii="Calibri" w:hAnsi="Calibri"/>
          </w:rPr>
          <w:t>2</w:t>
        </w:r>
        <w:r>
          <w:rPr>
            <w:rStyle w:val="Hyperlink"/>
            <w:rFonts w:cs="David" w:ascii="Calibri" w:hAnsi="Calibri"/>
            <w:rtl w:val="true"/>
          </w:rPr>
          <w:t>)‏‏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hyperlink r:id="rId40">
        <w:r>
          <w:rPr>
            <w:rStyle w:val="Hyperlink"/>
            <w:rFonts w:ascii="Calibri" w:hAnsi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ד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חריג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הייתה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אפשרות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האשמה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שהבאת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חריגים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צד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להגיש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מתאימה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ובכפוף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הסכימו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הודאת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הצהרה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המתוארות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בהתאם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נשמטה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משהודה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התביעה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חזרה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מהסכמה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שינוי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הוספה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תדרש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בתנאים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)(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)(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)"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3667/13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טיב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14.10.2014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דנציגר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</w:t>
      </w:r>
      <w:r>
        <w:rPr>
          <w:rFonts w:cs="Calibri" w:ascii="Calibri" w:hAnsi="Calibri"/>
          <w:b/>
          <w:bCs/>
          <w:u w:val="single"/>
          <w:rtl w:val="true"/>
        </w:rPr>
        <w:t>'</w:t>
      </w:r>
      <w:r>
        <w:rPr>
          <w:rFonts w:ascii="Calibri" w:hAnsi="Calibri" w:cs="Calibri"/>
          <w:b/>
          <w:b/>
          <w:bCs/>
          <w:u w:val="single"/>
          <w:rtl w:val="true"/>
        </w:rPr>
        <w:t>טיב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הקבועות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)(</w:t>
        </w:r>
        <w:r>
          <w:rPr>
            <w:rStyle w:val="Hyperlink"/>
            <w:rFonts w:cs="David" w:ascii="Calibri" w:hAnsi="Calibri"/>
          </w:rPr>
          <w:t>2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שכנגד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ושיג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ובמסגרת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rtl w:val="true"/>
        </w:rPr>
        <w:t>המשקף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טיב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להשמיט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בתיאור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יוסיפו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להתיר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>" (</w:t>
      </w:r>
      <w:hyperlink r:id="rId43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)(</w:t>
        </w:r>
        <w:r>
          <w:rPr>
            <w:rStyle w:val="Hyperlink"/>
            <w:rFonts w:cs="David" w:ascii="Calibri" w:hAnsi="Calibri"/>
          </w:rPr>
          <w:t>2</w:t>
        </w:r>
        <w:r>
          <w:rPr>
            <w:rStyle w:val="Hyperlink"/>
            <w:rFonts w:cs="David" w:ascii="Calibri" w:hAnsi="Calibri"/>
            <w:rtl w:val="true"/>
          </w:rPr>
          <w:t>))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שנגבתה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שהובטחה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ומידת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הפגיעה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מוגנים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4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144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5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340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6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2038/04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96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;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103/88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ליכטמן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373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1989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גולדברג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בסל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8.3.2017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סולברג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דר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21.12.2014</w:t>
      </w:r>
      <w:r>
        <w:rPr>
          <w:rFonts w:cs="Calibri" w:ascii="Calibri" w:hAnsi="Calibri"/>
          <w:rtl w:val="true"/>
        </w:rPr>
        <w:t xml:space="preserve">);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דבס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18.7.2013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הדרגתית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19.1.2014</w:t>
      </w:r>
      <w:r>
        <w:rPr>
          <w:rFonts w:cs="Calibri" w:ascii="Calibri" w:hAnsi="Calibri"/>
          <w:rtl w:val="true"/>
        </w:rPr>
        <w:t xml:space="preserve">);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ותד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14.9.2011</w:t>
      </w:r>
      <w:r>
        <w:rPr>
          <w:rFonts w:cs="Calibri" w:ascii="Calibri" w:hAnsi="Calibri"/>
          <w:rtl w:val="true"/>
        </w:rPr>
        <w:t xml:space="preserve">)"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4406/19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סובח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5.11.2019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אלרון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עמאש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21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מקומותינו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התפשטות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>' (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עמאש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17.9.2015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4611/18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10.3.2019</w:t>
      </w:r>
      <w:r>
        <w:rPr>
          <w:rFonts w:cs="Calibri" w:ascii="Calibri" w:hAnsi="Calibri"/>
          <w:rtl w:val="true"/>
        </w:rPr>
        <w:t xml:space="preserve">);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5015/15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ריאן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29.3.2016</w:t>
      </w:r>
      <w:r>
        <w:rPr>
          <w:rFonts w:cs="Calibri" w:ascii="Calibri" w:hAnsi="Calibri"/>
          <w:rtl w:val="true"/>
        </w:rPr>
        <w:t xml:space="preserve">)".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1059/21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29.4.2021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11-10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hyperlink r:id="rId5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1059/21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פלוני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" (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עוואודה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30.12.2009</w:t>
      </w:r>
      <w:r>
        <w:rPr>
          <w:rFonts w:cs="Calibri" w:ascii="Calibri" w:hAnsi="Calibri"/>
          <w:rtl w:val="true"/>
        </w:rPr>
        <w:t>)</w:t>
      </w:r>
      <w:r>
        <w:rPr>
          <w:rFonts w:cs="Times New Roman"/>
          <w:rtl w:val="true"/>
        </w:rPr>
        <w:t>‏‏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 xml:space="preserve">'). </w:t>
      </w:r>
      <w:r>
        <w:rPr>
          <w:rFonts w:ascii="Calibri" w:hAnsi="Calibri" w:cs="Calibri"/>
          <w:rtl w:val="true"/>
        </w:rPr>
        <w:t>תהינה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מהצטברות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בחינת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61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340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26.7.2018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134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התשע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2742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26.7.2018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887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4595/13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זובידאת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6.7.2014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זובידאת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), "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קונקרטי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למשל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במטרה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להפחידו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פציעה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לאדם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הצעות</w:t>
      </w:r>
      <w:r>
        <w:rPr>
          <w:rFonts w:ascii="Calibri" w:hAnsi="Calibri" w:cs="Calibri"/>
          <w:rtl w:val="true"/>
        </w:rPr>
        <w:t xml:space="preserve"> 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הממשלה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1223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30.4.2018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914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1059/21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1509/20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נבארי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2.7.2020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עמאש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17.9.2015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6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43405-12-12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גלר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10.3.2013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זובידאת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6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4377/16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תורק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6.10.2016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שקילת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בלוויית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שנית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חרב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בלעדי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שלישית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רביעית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שהובטחה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להמעיט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hyperlink r:id="rId7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1059/21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)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נסיבותיו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שנית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בהיבטים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שלישית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u w:val="single"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u w:val="single"/>
          <w:rtl w:val="true"/>
        </w:rPr>
        <w:t>שנית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u w:val="single"/>
          <w:rtl w:val="true"/>
        </w:rPr>
        <w:t>שלישית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שנפסק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העשויים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</w:t>
      </w:r>
      <w:r>
        <w:rPr>
          <w:rFonts w:cs="Calibri" w:ascii="Calibri" w:hAnsi="Calibri"/>
          <w:rtl w:val="true"/>
        </w:rPr>
        <w:t>" (</w:t>
      </w:r>
      <w:hyperlink r:id="rId7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9727/05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8.8.2007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חינוכי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>" (</w:t>
      </w:r>
      <w:hyperlink r:id="rId7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11178/04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פלוני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1.9.2005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רובינשטיין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27.6.2020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bookmarkStart w:id="13" w:name="Nitan"/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 </w:t>
      </w:r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ארבעים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וחמישה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David" w:ascii="David" w:hAnsi="David"/>
                <w:color w:val="FFFFFF"/>
                <w:sz w:val="2"/>
                <w:szCs w:val="2"/>
              </w:rPr>
              <w:t>54678313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ג בסיוון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, </w:t>
            </w:r>
            <w:r>
              <w:rPr>
                <w:rFonts w:cs="David" w:ascii="David" w:hAnsi="David"/>
                <w:sz w:val="26"/>
                <w:szCs w:val="26"/>
              </w:rPr>
              <w:t>3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ביוני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sz w:val="26"/>
                <w:szCs w:val="26"/>
              </w:rPr>
              <w:t>2021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מעמד הנאשם ובאי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כוח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הצדדים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כמפורט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בפרוטוקול הדיון מהיום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</w:rPr>
        <w:t>2021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28148-07-20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שעבאן אטרש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" TargetMode="External"/><Relationship Id="rId4" Type="http://schemas.openxmlformats.org/officeDocument/2006/relationships/hyperlink" Target="http://www.nevo.co.il/law/70301/40j.b.2" TargetMode="External"/><Relationship Id="rId5" Type="http://schemas.openxmlformats.org/officeDocument/2006/relationships/hyperlink" Target="http://www.nevo.co.il/law/70301/40j.b.2.&#8207;&#8207;" TargetMode="External"/><Relationship Id="rId6" Type="http://schemas.openxmlformats.org/officeDocument/2006/relationships/hyperlink" Target="http://www.nevo.co.il/law/70301/40j.d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40a.b" TargetMode="External"/><Relationship Id="rId10" Type="http://schemas.openxmlformats.org/officeDocument/2006/relationships/hyperlink" Target="http://www.nevo.co.il/law/73606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.b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case/27309272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26790911" TargetMode="External"/><Relationship Id="rId18" Type="http://schemas.openxmlformats.org/officeDocument/2006/relationships/hyperlink" Target="http://www.nevo.co.il/case/27436592" TargetMode="External"/><Relationship Id="rId19" Type="http://schemas.openxmlformats.org/officeDocument/2006/relationships/hyperlink" Target="http://www.nevo.co.il/case/25026605" TargetMode="External"/><Relationship Id="rId20" Type="http://schemas.openxmlformats.org/officeDocument/2006/relationships/hyperlink" Target="http://www.nevo.co.il/case/26986954" TargetMode="External"/><Relationship Id="rId21" Type="http://schemas.openxmlformats.org/officeDocument/2006/relationships/hyperlink" Target="http://www.nevo.co.il/case/25127246" TargetMode="External"/><Relationship Id="rId22" Type="http://schemas.openxmlformats.org/officeDocument/2006/relationships/hyperlink" Target="http://www.nevo.co.il/case/5878682" TargetMode="External"/><Relationship Id="rId23" Type="http://schemas.openxmlformats.org/officeDocument/2006/relationships/hyperlink" Target="http://www.nevo.co.il/case/5578534" TargetMode="External"/><Relationship Id="rId24" Type="http://schemas.openxmlformats.org/officeDocument/2006/relationships/hyperlink" Target="http://www.nevo.co.il/case/20854263" TargetMode="External"/><Relationship Id="rId25" Type="http://schemas.openxmlformats.org/officeDocument/2006/relationships/hyperlink" Target="http://www.nevo.co.il/case/21731301" TargetMode="External"/><Relationship Id="rId26" Type="http://schemas.openxmlformats.org/officeDocument/2006/relationships/hyperlink" Target="http://www.nevo.co.il/case/24305289" TargetMode="External"/><Relationship Id="rId27" Type="http://schemas.openxmlformats.org/officeDocument/2006/relationships/hyperlink" Target="http://www.nevo.co.il/case/24195376" TargetMode="External"/><Relationship Id="rId28" Type="http://schemas.openxmlformats.org/officeDocument/2006/relationships/hyperlink" Target="http://www.nevo.co.il/case/4691716" TargetMode="External"/><Relationship Id="rId29" Type="http://schemas.openxmlformats.org/officeDocument/2006/relationships/hyperlink" Target="http://www.nevo.co.il/case/6276336" TargetMode="External"/><Relationship Id="rId30" Type="http://schemas.openxmlformats.org/officeDocument/2006/relationships/hyperlink" Target="http://www.nevo.co.il/law/70301/40j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.d" TargetMode="External"/><Relationship Id="rId33" Type="http://schemas.openxmlformats.org/officeDocument/2006/relationships/hyperlink" Target="http://www.nevo.co.il/law/70301/40j.b.2" TargetMode="External"/><Relationship Id="rId34" Type="http://schemas.openxmlformats.org/officeDocument/2006/relationships/hyperlink" Target="http://www.nevo.co.il/law/70301/40j.d" TargetMode="External"/><Relationship Id="rId35" Type="http://schemas.openxmlformats.org/officeDocument/2006/relationships/hyperlink" Target="http://www.nevo.co.il/case/26418331" TargetMode="External"/><Relationship Id="rId36" Type="http://schemas.openxmlformats.org/officeDocument/2006/relationships/hyperlink" Target="http://www.nevo.co.il/case/22253554" TargetMode="External"/><Relationship Id="rId37" Type="http://schemas.openxmlformats.org/officeDocument/2006/relationships/hyperlink" Target="http://www.nevo.co.il/law/70301/40j" TargetMode="External"/><Relationship Id="rId38" Type="http://schemas.openxmlformats.org/officeDocument/2006/relationships/hyperlink" Target="http://www.nevo.co.il/case/18131336" TargetMode="External"/><Relationship Id="rId39" Type="http://schemas.openxmlformats.org/officeDocument/2006/relationships/hyperlink" Target="http://www.nevo.co.il/law/70301/40j.b.2.&#8207;&#8207;" TargetMode="External"/><Relationship Id="rId40" Type="http://schemas.openxmlformats.org/officeDocument/2006/relationships/hyperlink" Target="http://www.nevo.co.il/law/70301/40j.d" TargetMode="External"/><Relationship Id="rId41" Type="http://schemas.openxmlformats.org/officeDocument/2006/relationships/hyperlink" Target="http://www.nevo.co.il/case/17954542" TargetMode="External"/><Relationship Id="rId42" Type="http://schemas.openxmlformats.org/officeDocument/2006/relationships/hyperlink" Target="http://www.nevo.co.il/law/70301/40j.b.2" TargetMode="External"/><Relationship Id="rId43" Type="http://schemas.openxmlformats.org/officeDocument/2006/relationships/hyperlink" Target="http://www.nevo.co.il/law/70301/40j.b.2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/340a.b" TargetMode="External"/><Relationship Id="rId46" Type="http://schemas.openxmlformats.org/officeDocument/2006/relationships/hyperlink" Target="http://www.nevo.co.il/law/70301/192" TargetMode="External"/><Relationship Id="rId47" Type="http://schemas.openxmlformats.org/officeDocument/2006/relationships/hyperlink" Target="http://www.nevo.co.il/case/5808394" TargetMode="External"/><Relationship Id="rId48" Type="http://schemas.openxmlformats.org/officeDocument/2006/relationships/hyperlink" Target="http://www.nevo.co.il/case/17944047" TargetMode="External"/><Relationship Id="rId49" Type="http://schemas.openxmlformats.org/officeDocument/2006/relationships/hyperlink" Target="http://www.nevo.co.il/case/22006503" TargetMode="External"/><Relationship Id="rId50" Type="http://schemas.openxmlformats.org/officeDocument/2006/relationships/hyperlink" Target="http://www.nevo.co.il/case/13090914" TargetMode="External"/><Relationship Id="rId51" Type="http://schemas.openxmlformats.org/officeDocument/2006/relationships/hyperlink" Target="http://www.nevo.co.il/case/6950458" TargetMode="External"/><Relationship Id="rId52" Type="http://schemas.openxmlformats.org/officeDocument/2006/relationships/hyperlink" Target="http://www.nevo.co.il/case/7791493" TargetMode="External"/><Relationship Id="rId53" Type="http://schemas.openxmlformats.org/officeDocument/2006/relationships/hyperlink" Target="http://www.nevo.co.il/case/6151556" TargetMode="External"/><Relationship Id="rId54" Type="http://schemas.openxmlformats.org/officeDocument/2006/relationships/hyperlink" Target="http://www.nevo.co.il/case/25824863" TargetMode="External"/><Relationship Id="rId55" Type="http://schemas.openxmlformats.org/officeDocument/2006/relationships/hyperlink" Target="http://www.nevo.co.il/case/20291305" TargetMode="External"/><Relationship Id="rId56" Type="http://schemas.openxmlformats.org/officeDocument/2006/relationships/hyperlink" Target="http://www.nevo.co.il/case/24303104" TargetMode="External"/><Relationship Id="rId57" Type="http://schemas.openxmlformats.org/officeDocument/2006/relationships/hyperlink" Target="http://www.nevo.co.il/case/20450586" TargetMode="External"/><Relationship Id="rId58" Type="http://schemas.openxmlformats.org/officeDocument/2006/relationships/hyperlink" Target="http://www.nevo.co.il/case/27404359" TargetMode="External"/><Relationship Id="rId59" Type="http://schemas.openxmlformats.org/officeDocument/2006/relationships/hyperlink" Target="http://www.nevo.co.il/case/27404359" TargetMode="External"/><Relationship Id="rId60" Type="http://schemas.openxmlformats.org/officeDocument/2006/relationships/hyperlink" Target="http://www.nevo.co.il/case/6000182" TargetMode="External"/><Relationship Id="rId61" Type="http://schemas.openxmlformats.org/officeDocument/2006/relationships/hyperlink" Target="http://www.nevo.co.il/law/70301/340a.b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7697292" TargetMode="External"/><Relationship Id="rId64" Type="http://schemas.openxmlformats.org/officeDocument/2006/relationships/hyperlink" Target="http://www.nevo.co.il/law/73606" TargetMode="External"/><Relationship Id="rId65" Type="http://schemas.openxmlformats.org/officeDocument/2006/relationships/hyperlink" Target="http://www.nevo.co.il/case/27404359" TargetMode="External"/><Relationship Id="rId66" Type="http://schemas.openxmlformats.org/officeDocument/2006/relationships/hyperlink" Target="http://www.nevo.co.il/case/26492590" TargetMode="External"/><Relationship Id="rId67" Type="http://schemas.openxmlformats.org/officeDocument/2006/relationships/hyperlink" Target="http://www.nevo.co.il/case/20291305" TargetMode="External"/><Relationship Id="rId68" Type="http://schemas.openxmlformats.org/officeDocument/2006/relationships/hyperlink" Target="http://www.nevo.co.il/case/4118781" TargetMode="External"/><Relationship Id="rId69" Type="http://schemas.openxmlformats.org/officeDocument/2006/relationships/hyperlink" Target="http://www.nevo.co.il/case/21474922" TargetMode="External"/><Relationship Id="rId70" Type="http://schemas.openxmlformats.org/officeDocument/2006/relationships/hyperlink" Target="http://www.nevo.co.il/case/27404359" TargetMode="External"/><Relationship Id="rId71" Type="http://schemas.openxmlformats.org/officeDocument/2006/relationships/hyperlink" Target="http://www.nevo.co.il/case/6158650" TargetMode="External"/><Relationship Id="rId72" Type="http://schemas.openxmlformats.org/officeDocument/2006/relationships/hyperlink" Target="http://www.nevo.co.il/case/6241425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2022-02-23T11:28:00Z</dcterms:created>
  <dc:creator> </dc:creator>
  <dc:description/>
  <cp:keywords/>
  <dc:language>en-IL</dc:language>
  <cp:lastModifiedBy>h1</cp:lastModifiedBy>
  <dcterms:modified xsi:type="dcterms:W3CDTF">2022-02-23T11:28:00Z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שעבאן אטרש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27309272;7791493:2;26790911;27436592;25026605;26986954;25127246;5878682;5578534;20854263;21731301;24305289;24195376;4691716;6276336;26418331;22253554;18131336;17954542;5808394;17944047;22006503;13090914;6950458;6151556;25824863;20291305:2;24303104</vt:lpwstr>
  </property>
  <property fmtid="{D5CDD505-2E9C-101B-9397-08002B2CF9AE}" pid="9" name="CASESLISTTMP2">
    <vt:lpwstr>20450586;27404359:4;6000182;7697292;26492590;4118781;21474922;6158650;6241425</vt:lpwstr>
  </property>
  <property fmtid="{D5CDD505-2E9C-101B-9397-08002B2CF9AE}" pid="10" name="CITY">
    <vt:lpwstr>י-ם</vt:lpwstr>
  </property>
  <property fmtid="{D5CDD505-2E9C-101B-9397-08002B2CF9AE}" pid="11" name="DATE">
    <vt:lpwstr>20210603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70301/144.b:2;340a.b:3;192:2;040j:2;040j.d:3;040j.b.2:3;040j.b.2.‏‏</vt:lpwstr>
  </property>
  <property fmtid="{D5CDD505-2E9C-101B-9397-08002B2CF9AE}" pid="16" name="LAWLISTTMP2">
    <vt:lpwstr>73606</vt:lpwstr>
  </property>
  <property fmtid="{D5CDD505-2E9C-101B-9397-08002B2CF9AE}" pid="17" name="LAWYER">
    <vt:lpwstr>דקלה לוי-דמרי;סנא ח'יר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28148</vt:lpwstr>
  </property>
  <property fmtid="{D5CDD505-2E9C-101B-9397-08002B2CF9AE}" pid="24" name="NEWPARTB">
    <vt:lpwstr>07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390020210603</vt:lpwstr>
  </property>
  <property fmtid="{D5CDD505-2E9C-101B-9397-08002B2CF9AE}" pid="36" name="TYPE_N_DATE">
    <vt:lpwstr>39020210603</vt:lpwstr>
  </property>
  <property fmtid="{D5CDD505-2E9C-101B-9397-08002B2CF9AE}" pid="37" name="VOLUME">
    <vt:lpwstr/>
  </property>
  <property fmtid="{D5CDD505-2E9C-101B-9397-08002B2CF9AE}" pid="38" name="WORDNUMPAGES">
    <vt:lpwstr>17</vt:lpwstr>
  </property>
</Properties>
</file>