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28190-05-12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יעקוב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יעקוב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בוקטמן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bookmarkEnd w:id="6"/>
          </w:p>
        </w:tc>
      </w:tr>
    </w:tbl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 ביום </w:t>
      </w:r>
      <w:r>
        <w:rPr>
          <w:rFonts w:cs="Arial" w:ascii="Arial" w:hAnsi="Arial"/>
        </w:rPr>
        <w:t>14.10.12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28190-05-12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צרף את כל התיקים התלויים ועומדים כנגדו למעט פל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</w:t>
      </w:r>
      <w:r>
        <w:rPr>
          <w:rFonts w:cs="Arial" w:ascii="Arial" w:hAnsi="Arial"/>
        </w:rPr>
        <w:t>433819-11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לא אותר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28190-05-12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hyperlink r:id="rId11">
        <w:r>
          <w:rPr>
            <w:rFonts w:ascii="Arial" w:hAnsi="Arial" w:cs="Arial"/>
            <w:b/>
            <w:b/>
            <w:bCs/>
            <w:rtl w:val="true"/>
          </w:rPr>
          <w:t>אישום ראשון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 xml:space="preserve">הנאשם הורשע בכך  שביום </w:t>
      </w:r>
      <w:r>
        <w:rPr>
          <w:rFonts w:cs="Arial" w:ascii="Arial" w:hAnsi="Arial"/>
        </w:rPr>
        <w:t>6.4.12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פרץ לדירת משפחת כץ בישוב חשמונאים וגנב מתוכה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ביודעין לדירה בכדי לקחת את האקדח</w:t>
      </w:r>
      <w:bookmarkStart w:id="8" w:name="ABSTRACT_END"/>
      <w:bookmarkEnd w:id="8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אישום שני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לפנות בוקר ביום </w:t>
      </w:r>
      <w:r>
        <w:rPr>
          <w:rFonts w:cs="Arial" w:ascii="Arial" w:hAnsi="Arial"/>
        </w:rPr>
        <w:t>7.4.12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הנאשם לאחר להתפרץ לבית משפחת שיינה ביישוב חשמונאים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שחברו ניפץ את חלון הסלון ונכנס לדירה בעוד שהנאשם תצפת מחוץ לדירה לבל יופרע במעשיו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אישום שלישי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לאחר להתפרץ לדירה נוספת השייכת למשפחת 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 נכנס לדירה דרך חלון המטבח בעוד שהנאשם תצפת לבל יופרע במעשיו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אישום רביעי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כחודשיים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3.2.12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4.2.12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התפרץ הנאשם לדירתו של ישראל ביטל באשדוד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למרפסת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שבר את דלת הדירה וגנב מתוכה מחשב נייד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מצלמות אבטחה ומצלמת וידיאו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אישום חמישי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כחודשיים לפני יום </w:t>
      </w:r>
      <w:r>
        <w:rPr>
          <w:rFonts w:cs="Arial" w:ascii="Arial" w:hAnsi="Arial"/>
        </w:rPr>
        <w:t>28.4.12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סיפק הנאשם לאחרת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סם מסוכן מסוג חשיש בכמות שאינה ידועה למאשימה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המחוקק קבע לצד עבירת התפרצות לדירה עונש של שבע 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הדגיש שוב ושוב כי בעבירה זו ישנה פגיעה נוספת מלבד הפגיעה ברכוש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נפגעות באופן חמור תחושת הביטחון האישי ופרטיותו של נפגע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זה קיימת חומרה נוספת שכן הנאשם פרץ לדירה במטרה לגנוב נשק שהיה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גנב את הנשק ואף החזיק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בשל עבירה זו קבע המחוקק עונש של שבע שנות מאסר ובית המשפט העליון הדגיש את הצורך לעקור מן השורש את תופעת החזקת הנשק בידי הציבור ראה אותה בחומרה רבה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כי העבירה בוצעה תוך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הנאשם ידע מבעוד מועד כי יש נשק בדירה ונכנס לתוכה בכדי לגנוב אותו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יש לקבוע את המתחם בהצטרף האישומים  השני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בשלושה מקרי התפרצות שאירעו באותו לילה בסמיכות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ניתן לראותם כאירוע אחד בהתאם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באישומים השני והשלישי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הנאשם בביצוע העבירה הוא כמסייע והעבירות בוצעו תוך תכנון מוקדם ובצוותא חדא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בנסיבות אלה מתחם העונש ההולם את שלושת האישומים הוא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ועד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באשר לאישום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פרץ לדירה כחודשיים לפני האירועים שבאישומים </w:t>
      </w:r>
      <w:r>
        <w:rPr>
          <w:rFonts w:cs="Arial" w:ascii="Arial" w:hAnsi="Arial"/>
        </w:rPr>
        <w:t>1-3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וגנב ציוד יקר ערך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בחומרת העבירה ובכך שגרם נזק רב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מדובר ברכוש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קובעת כי מתחם העונש ההולם בעבירה זו הוא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האירוע באישום החמישי הוא של הספקת סם לאחר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בסוג הסם ובכך שמדובר בהספקה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קובעת כי מתחם העונש ההולם בעבירה זו הוא בין מספר חודשי עבודות שירות ועד למספר 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.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u w:val="single"/>
        </w:rPr>
        <w:t>199298-11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של תחנת בנימין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בהחזקת סם מסוכן מסוג קנאבוס במשקל </w:t>
      </w:r>
      <w:r>
        <w:rPr>
          <w:rFonts w:cs="Arial" w:ascii="Arial" w:hAnsi="Arial"/>
        </w:rPr>
        <w:t>0.51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לצריכתו העצמית 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העונש ההולם עבירה זו הוא בין מאסר מותנה וקנס לבין מספר ימי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hyperlink r:id="rId14"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sz w:val="26"/>
            <w:szCs w:val="26"/>
          </w:rPr>
          <w:t>5727-06-10</w:t>
        </w:r>
      </w:hyperlink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בית משפט לנוער ירושלים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בתיק זה הורשע הנאשם בהחזקת סכין פרפר בכיסו וכן בהחזקת כלי עישון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בעבירות שבוצעו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 הנאשם היה קטין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המחוקק קבע לצד עבירת החזקת הסכין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וזאת בשל פוטנציאל המסוכנות הטמון בהחזקת נשק קר וזמין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הדגיש את הצורך לשרש את תופעת הסכינאות ולהוקיעה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3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שהנאשם החזיק את הסכין על גופו ובהתחשב בסוג הסכין וכן בהתחשב בכך שהנאשם אף החזיק בכלי עישון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אני קובעת כי מתחם העונש ההולם עבירות אלה הוא בין מאסר בעבודות שירות ועד לשנת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</w:rPr>
          <w:t>1328-09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בית משפט לנוער ירושלים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בהחזקת סמים מסוג חשיש לצריכתו העצמית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ביחד עם חבריו כאשר לעיתים הנאשם הוא זה שהביא את הסם ושיתף בו את 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העבירה בוצעה בין חודש אוגוסט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לינואר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העונש ההולם עבירה זו הוא בין מאסר מותנה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לבן מספר 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>.</w:t>
        </w:r>
        <w:r>
          <w:rPr>
            <w:rStyle w:val="Hyperlink"/>
            <w:rFonts w:ascii="Arial" w:hAnsi="Arial" w:cs="Arial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sz w:val="26"/>
            <w:szCs w:val="26"/>
            <w:rtl w:val="true"/>
          </w:rPr>
          <w:t xml:space="preserve">. </w:t>
        </w:r>
        <w:r>
          <w:rPr>
            <w:rStyle w:val="Hyperlink"/>
            <w:rFonts w:cs="Arial" w:ascii="Arial" w:hAnsi="Arial"/>
            <w:b/>
            <w:bCs/>
            <w:sz w:val="26"/>
            <w:szCs w:val="26"/>
          </w:rPr>
          <w:t>642-08</w:t>
        </w:r>
      </w:hyperlink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בית משפט לנוער בראשון לציון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בפציעה בצוותא של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העבירה בוצעה במהלך 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וכתוצאה מהתקיפה נגרם לקטין שבר בארובת העין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שמדובר בעבירה שבוצעה בצוותא תוך גרימת נזק חמור לקטין ומאידך מדובר באירוע הדדי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קובעת כי מתחם העונש ההולם בעבירה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בין מספר חודשי מאסר בעבודות שירות ועד 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28.10.12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כי הנאשם הוא יליד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למשפחה בת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המקיימת אורח חיים חרדי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המשפחה מוכרת לשירותי הרווחה על רקע מצוקה כלכלית וקשיים בתפקוד הורי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ולא גויס לצבא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מהתסקיר עולה כי הנאשם משתמש בסמים מגיל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ובשנה שקדמה למעצרו החל להשתמש  בסמים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השימוש בסמים קשים קיים הנאשם אורח חיים הסובב סביב השימוש בסמים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שכר דירה עם חבריו וביצע עבירות רכוש כדי לממן אורח חיים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עולה מהתסקיר כי הנאשם במסגרת תיק המעצר ניסה להשתלב בהליך גמילה מסמים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מלכישוע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אולם בעת שחזר מראיון שבחן את השתלבותו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 הנאשם את האמון שניתן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חזר מיד לבית המעצר ובשל כך נעצר עד לתום ההליכים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הנאשם לא מבין לעומק את חומרת מצבו ולא בא בהמלצה טיפולית בעניינו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שירות המבחן מיום </w:t>
      </w:r>
      <w:r>
        <w:rPr>
          <w:rFonts w:cs="Arial" w:ascii="Arial" w:hAnsi="Arial"/>
        </w:rPr>
        <w:t>21.11.12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קצין המבחן מכך שהנאשם סבל ממשבר נעורים ומקושי לעמוד באורח חיים דתי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נפלט ממסגרת הלימודים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לדמויות מכשילות ובהמשך ביצע עבירות כחלק מאורח החיים שסיגל לעצמו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עולה מהתסקיר כי נסיבות ילדותו של הנאשם היו קשות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קצין המבחן ציין כי הנאשם ער כיום לעומק ההידרדרו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בה היה נתון והנאשם נכון לשאת את המחיר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בתסקיר זה שירות מבחן לא בא בהמלצה טיפולית בעניינו של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סבר כי מתחם העונש הכולל הוא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וביקש להטיל על הנאשם 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פסילה מלקבל רישיו</w:t>
      </w:r>
      <w:r>
        <w:rPr>
          <w:rFonts w:ascii="Arial" w:hAnsi="Arial" w:cs="Arial"/>
          <w:rtl w:val="true"/>
        </w:rPr>
        <w:t>ן</w:t>
      </w:r>
      <w:r>
        <w:rPr>
          <w:rFonts w:ascii="Arial" w:hAnsi="Arial" w:cs="Arial"/>
          <w:rtl w:val="true"/>
        </w:rPr>
        <w:t xml:space="preserve"> נהיגה ופסילה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בהדגישו את ריבוי העבירות וחומרתן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ציינו כי הנאשם החליט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לנקות שולחן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צרף את כל תיקיו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מלאה על מעשיו וחסך זמן שיפוטי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מרבית העבירות בוצעו כאשר הנאשם היה קטין ולכן יש לנהוג בעבירות אלה על פי הענישה המקובלת בבית המשפט לנוער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סברה כי מתחם העונש הכולל הוא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עבודות שירות ועד 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טענו כי יש לזקוף לזכותו של הנאשם שהשיב את האקדח וגילה למשטרה את המקום בו הוא הוסתר וזאת ללא קבלת טובת הנאה לעצמו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הדגישו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חייו הקשות וכן את העובדה שהנאשם יושב בתנאי מעצר קשים מאחר שלא חזר למעצרו לאחר סיום ראיון הקבלה במלכישוע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לעבירת האלימות אותה ביצע הנאשם כקטין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כי העבירה בוצעה לפני כ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באישום תוקן וממנו עולה כי האירוע היה הדדי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ושותפו של הנאשם נדון בשל עבירה זו למאסר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בסך </w:t>
      </w:r>
      <w:r>
        <w:rPr>
          <w:rFonts w:cs="Arial" w:ascii="Arial" w:hAnsi="Arial"/>
        </w:rPr>
        <w:t>1500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הנאשם מיוזמתו חזר לבית הוריו וניסה לשנות את אורח חייו עוד טרם מעצרו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הנאשם ביקש להתחשב בבנו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שהתדרדרות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נבעה מכך שלמד בפנימיות והתחבר לחברה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ציין כי הנאשם חזר מיוזמתו לבית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התוודה לפניו על העבירות אותם ביצע ורצה לשלם את המחיר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טען כי ניתן ללמוד על רצינות כוונותיו של הנאשם מכך שהחזיר את הנשק ורצה להיעצר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שחרורו הנאשם ישוב לאורח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את חרטתו הכנה של הנאשם על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בעניין דבריו של אביו של הנאשם יש לפנות לדברי קצינת המבחן בתסקיר מיום </w:t>
      </w:r>
      <w:r>
        <w:rPr>
          <w:rFonts w:cs="Arial" w:ascii="Arial" w:hAnsi="Arial"/>
        </w:rPr>
        <w:t>28.10.12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הקשר של הנאשם עם הוריו ועל היכולת של הנאשם להישען ולהיעזר בבני משפחתו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שם בעמוד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מסר כי לראשונה מאז 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נקי מסמים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כי טרם מאסרו השתמש באופן יום יומי בסמים אשר גרמו לו להרס עצמי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אף ציין כי גרם סבל לו ולאחרים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הביעה חרטה כנה על מעשיו והבטיח כי לא ישוב לדרך זו שכן בכוונתו לשקם את עצמו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לסעיף </w:t>
      </w:r>
      <w:hyperlink r:id="rId17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יג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 הנאשם עונש כולל לכל האירועים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פרט לתיק העיקרי ולפ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199298-11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יתר העבירות בוצעו שעה שהנאשם היה קטין ועל כן העונש המתאים בתיקים אלה צריך להיגזר על פי אמות המידה  הקבועות בבית המשפט לנוער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בהתאם לסעיף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טו</w:t>
        </w:r>
      </w:hyperlink>
      <w:r>
        <w:rPr>
          <w:rFonts w:ascii="Arial" w:hAnsi="Arial" w:cs="Arial"/>
          <w:rtl w:val="true"/>
        </w:rPr>
        <w:t xml:space="preserve"> לחוק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חל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בקשר לעבירות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אולם בית המשפט רשאי להתחשב בעקרונות ובשיקולים המנחים בענישה כפי שנקבעו בתיקון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התאמתם לענישת קטין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בקשר לעבירות אלה יש להתחשב בחלוף הזמן ממועד ביצוע העבירות ובעבירה אשר בוצעה ב</w:t>
      </w:r>
      <w:hyperlink r:id="rId1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642-08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יש להתחשב בשיקול של שוויון בענישה לנוכח העונש המקל אשר נגזר על שותפו של הנאשם שהיה מבוגר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בכך שהעבירה בוצעה כאשר הנאשם היה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וזוהי מעידתו היחידה בתחום האלימות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הנאשם צרף לפני מבית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קובעת כי העונש המתאים הוא 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ולו היה הנאשם ממשיך בדרך של שיקום ולא מבצע את העבירות כבגיר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היה לגזור עליו את ריצוי המאסר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לעבירות אותן ביצע הנאשם כבגיר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בבואי לגזור את דינו אשקול לחומרה את נסיבות ביצוע העבירות ריבוין וחומרתן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אשקול לחומרה כי העבירות אשר בוצעו בשנה האחרונה הן עבירות רכוש חמורות אשר הנאשם ביצע אותן כבגיר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ובוצעו שעה שהתקיימו כנגדו מספר הליכים בבית 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שהנאשם הראה במעשיו כי הליכים בבית המשפט לא הרתיעהו מלשוב ולבצע 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רק שלא נעזר בשירות המבחן כדי להשתקם למרות שהופנה לכך על ידי בית המשפט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להיפך הידרדר מטה מטה והמשיך לעבור עבירות מהחמורות שנידונות בבית המשפט השלום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אציין כי שירות המבחן לא בא בהמלצה טיפולית בעניינו של הנאשם ופרט לדברי הנאשם כי הפסיק לצרוך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ערובה כי אכן כך הדבר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יצליח להתמיד בכך לאורך זמן ובעקבות כך יפסיק לבצע עבירות לצורך מימון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המניע לביצוען הוא מימון התמכרות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גם לתת דגש על הצורך להגן על הציבור מפני הנאשם ובהיעדר תוכנית שיקומית בעניינו ולנוכח רצף הפעילות העבריינית של הנאשם יש חשש של ממש שהנאשם יחזור לבצע עבירות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דגש על הצורך בהרתעת הרבים מפני ביצוע עבירות מסוג זה שביצע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לזקוף לקולא את לקיחת האחריות המלאה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הבעת החרטה הכנה ואת שיתוף הפעולה של הנאשם עם כוחות המשטרה אשר הובילו להשבת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חייו הקשות של הנאשם המפורטות בתסקירים ואת רצונו של הנאשם להשתקם ולפתוח דף חדש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 הכולל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צעיר לימים וזהו מאסרו הראשון וזו היא הרשעתו הראשונה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בכך החלטתי שלא למצות עמו את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אני שוקלת את הנסיבות לחומרה ולקולא החלטתי להטיל עליו בגין כל העבירות אשר ביצע הן כקטין והן כבגיר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העונשים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מיום מעצרו </w:t>
      </w:r>
      <w:r>
        <w:rPr>
          <w:rFonts w:cs="Arial" w:ascii="Arial" w:hAnsi="Arial"/>
        </w:rPr>
        <w:t>28.4.12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_GoBack"/>
      <w:bookmarkStart w:id="10" w:name="_GoBack"/>
      <w:bookmarkEnd w:id="10"/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bookmarkStart w:id="11" w:name="_GoBack"/>
      <w:bookmarkEnd w:id="11"/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שנתיים מיום שחרורו על כל עבירת רכוש מסוג פשע או על כל עבירת סמים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ירצה עונש זה אלא אם יעבור בתוך שנתיים מיום שחרורו על כל עבירת אלימות מסוג פשע או עבירה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ירצה עונש זה אלא אם יעבור בתוך שנתיים מיום שחרורו על עבירת החזקת סכין או כל עבירת רכוש מסוג עוון למעט עבירה 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 או כל עבירת אלימות מסוג עוון למעט עבירה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חודשיים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שנתיים מיום שחרורו על כל עבירת סמים מסוג עוון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שהנאשם לא החזיק בסמים בשעה שנהג והעבירות לא בוצעו תוך שימוש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להטיל על הנאשם עונש של פסילה מלנהוג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השמדת המוצגים או חילוטם בהתאם להחלטת הרשם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אסיים בתקווה כי הנאשם ישכיל לנצל את זמן שהותו בין כותלי בית הסוהר להשלמת לימודיו ובהשתלבות בתוכנית גמילה מסודרת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שאכן יוכל לפתוח דף חדש עם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בירושלים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  <w:rtl w:val="true"/>
        </w:rPr>
      </w:r>
    </w:p>
    <w:p>
      <w:pPr>
        <w:pStyle w:val="ListParagraph"/>
        <w:keepNext w:val="true"/>
        <w:spacing w:lineRule="auto" w:line="360"/>
        <w:ind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ListParagraph"/>
        <w:keepNext w:val="true"/>
        <w:spacing w:lineRule="auto" w:line="360"/>
        <w:ind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ListParagraph"/>
        <w:keepNext w:val="true"/>
        <w:spacing w:lineRule="auto" w:line="360"/>
        <w:ind w:start="0"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69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28190-05-12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 יעקוב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643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1" TargetMode="External"/><Relationship Id="rId5" Type="http://schemas.openxmlformats.org/officeDocument/2006/relationships/hyperlink" Target="http://www.nevo.co.il/law/70301/40if" TargetMode="External"/><Relationship Id="rId6" Type="http://schemas.openxmlformats.org/officeDocument/2006/relationships/hyperlink" Target="http://www.nevo.co.il/law/70301/40jc.a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case/4668250" TargetMode="External"/><Relationship Id="rId10" Type="http://schemas.openxmlformats.org/officeDocument/2006/relationships/hyperlink" Target="http://www.nevo.co.il/case/4668250" TargetMode="External"/><Relationship Id="rId11" Type="http://schemas.openxmlformats.org/officeDocument/2006/relationships/hyperlink" Target="http://www.nevo.co.il/case/4668250" TargetMode="External"/><Relationship Id="rId12" Type="http://schemas.openxmlformats.org/officeDocument/2006/relationships/hyperlink" Target="http://www.nevo.co.il/law/70301/40jc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029089" TargetMode="External"/><Relationship Id="rId15" Type="http://schemas.openxmlformats.org/officeDocument/2006/relationships/hyperlink" Target="http://www.nevo.co.il/case/2407871" TargetMode="External"/><Relationship Id="rId16" Type="http://schemas.openxmlformats.org/officeDocument/2006/relationships/hyperlink" Target="http://www.nevo.co.il/case/2396632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0if" TargetMode="External"/><Relationship Id="rId19" Type="http://schemas.openxmlformats.org/officeDocument/2006/relationships/hyperlink" Target="http://www.nevo.co.il/case/2396632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413" TargetMode="External"/><Relationship Id="rId22" Type="http://schemas.openxmlformats.org/officeDocument/2006/relationships/hyperlink" Target="http://www.nevo.co.il/law/70301/19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2016-02-23T09:15:00Z</dcterms:created>
  <dc:creator> </dc:creator>
  <dc:description/>
  <cp:keywords/>
  <dc:language>en-IL</dc:language>
  <cp:lastModifiedBy>hofit</cp:lastModifiedBy>
  <dcterms:modified xsi:type="dcterms:W3CDTF">2016-02-23T09:15:00Z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יעקוב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ProcID=279;184&amp;PartA=433819&amp;PartC=11</vt:lpwstr>
  </property>
  <property fmtid="{D5CDD505-2E9C-101B-9397-08002B2CF9AE}" pid="9" name="CASENOTES2">
    <vt:lpwstr>ProcID=154;184&amp;PartA=199298&amp;PartC=11</vt:lpwstr>
  </property>
  <property fmtid="{D5CDD505-2E9C-101B-9397-08002B2CF9AE}" pid="10" name="CASENOTES3">
    <vt:lpwstr>ProcID=209&amp;PartA=1328&amp;PartC=09</vt:lpwstr>
  </property>
  <property fmtid="{D5CDD505-2E9C-101B-9397-08002B2CF9AE}" pid="11" name="CASESLISTTMP1">
    <vt:lpwstr>4668250:2;6029089;2396632:2</vt:lpwstr>
  </property>
  <property fmtid="{D5CDD505-2E9C-101B-9397-08002B2CF9AE}" pid="12" name="CITY">
    <vt:lpwstr>י-ם</vt:lpwstr>
  </property>
  <property fmtid="{D5CDD505-2E9C-101B-9397-08002B2CF9AE}" pid="13" name="DATE">
    <vt:lpwstr>20130120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חנה מרים לומפ</vt:lpwstr>
  </property>
  <property fmtid="{D5CDD505-2E9C-101B-9397-08002B2CF9AE}" pid="17" name="LAWLISTTMP1">
    <vt:lpwstr>70301/40jc.a;40jc.b;40if;144.a;413;191</vt:lpwstr>
  </property>
  <property fmtid="{D5CDD505-2E9C-101B-9397-08002B2CF9AE}" pid="18" name="LAWYER">
    <vt:lpwstr>נהלה ג'ני;טליה רם;אריק בוקטמן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28190</vt:lpwstr>
  </property>
  <property fmtid="{D5CDD505-2E9C-101B-9397-08002B2CF9AE}" pid="25" name="NEWPARTB">
    <vt:lpwstr>05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380020130120</vt:lpwstr>
  </property>
  <property fmtid="{D5CDD505-2E9C-101B-9397-08002B2CF9AE}" pid="37" name="TYPE_N_DATE">
    <vt:lpwstr>38020130120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