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525"/>
        <w:gridCol w:w="2980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525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28246-06-21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עמראני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98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יואל עדן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ד זוהר נאור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 פמ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עבדלעזיז עמראני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מאיר נבון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287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332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2016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האישום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והכרעת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הדין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sz w:val="26"/>
          <w:szCs w:val="26"/>
        </w:rPr>
      </w:pPr>
      <w:r>
        <w:rPr>
          <w:lang w:eastAsia="he-IL"/>
        </w:rPr>
        <w:t>1</w:t>
      </w:r>
      <w:r>
        <w:rPr>
          <w:rtl w:val="true"/>
          <w:lang w:eastAsia="he-IL"/>
        </w:rPr>
        <w:t>.</w:t>
        <w:tab/>
      </w:r>
      <w:bookmarkStart w:id="8" w:name="ABSTRACT_START"/>
      <w:bookmarkEnd w:id="8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</w:rPr>
        <w:t>בהכרעת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יידוי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332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329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)(</w:t>
        </w:r>
        <w:r>
          <w:rPr>
            <w:rStyle w:val="Hyperlink"/>
            <w:rFonts w:cs="Calibri" w:ascii="Calibri" w:hAnsi="Calibri"/>
          </w:rPr>
          <w:t>2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המאבק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בטרור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התשע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2016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המאבק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בטרור</w:t>
      </w:r>
      <w:r>
        <w:rPr>
          <w:rFonts w:cs="Calibri" w:ascii="Calibri" w:hAnsi="Calibri"/>
          <w:b/>
          <w:bCs/>
          <w:rtl w:val="true"/>
        </w:rPr>
        <w:t>")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גזעני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8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413</w:t>
        </w:r>
        <w:r>
          <w:rPr>
            <w:rStyle w:val="Hyperlink"/>
            <w:rFonts w:ascii="Calibri" w:hAnsi="Calibri" w:cs="Calibri"/>
            <w:rtl w:val="true"/>
          </w:rPr>
          <w:t>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hyperlink r:id="rId19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ascii="Calibri" w:hAnsi="Calibri" w:cs="Calibri"/>
            <w:rtl w:val="true"/>
          </w:rPr>
          <w:t>ו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התפרעות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152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1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287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bookmarkStart w:id="9" w:name="ABSTRACT_END"/>
      <w:bookmarkEnd w:id="9"/>
      <w:r>
        <w:rPr>
          <w:rFonts w:ascii="David" w:hAnsi="David"/>
          <w:rtl w:val="true"/>
        </w:rPr>
        <w:t>הנאשם הודה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 אשר לא כלל הסכמה עונשית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הצדדים נחלקו ביחס לשאלה האם הוראת חיקוק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עבירה של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עולה כדי עבירה בנסיבות </w:t>
      </w:r>
      <w:hyperlink r:id="rId2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המאבק בטרור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בהינתן עובדות כתב האישום המתוקן עליהן לא היתה מחלוקת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שטענו הצדדים בעניין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נקבע בהכרעת הדין כי מעשיי הנאשם עולים כדי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מעשה טרור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כהגדרת מעשה שכזה בחוק המאבק בטרור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הנאשם גם בסיפא להוראת החיקוק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דהיינו נקבע כי יש לראות במעשיו כמקימים את יסודות העבירה לפי </w:t>
      </w:r>
      <w:hyperlink r:id="rId2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בנסיבות </w:t>
      </w:r>
      <w:hyperlink r:id="rId2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המאבק בטרור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והוא הורשע בביצוע עבירה שהיא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מעשה טרור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החלק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הכללי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בכתב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המתוקן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13.4.21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הרמדאן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התרחשו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ובייחוד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התפרעויות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ותקיפות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זריקות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וחפצים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סממנים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גזעני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התפרעויות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ותקיפות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לאומני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והביטחון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10.5.21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ההתפרעויות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וגלשו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הארץ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10.5.21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ועוטף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החומות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חסימות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יידוי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וחפצים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סממנים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והביטחון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והבערת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צמיגים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במוקדים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לאומני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בתאריכים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10.5.21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12.5.21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בלילות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התקהלו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הבערות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צמיגים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חסימות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כבישים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וידוי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לדימונה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לשגב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לסירוגין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ורכבים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11.5.21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19:00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תושבי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בשגב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יידויי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יידויי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ובקבוקי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תבערה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הבערת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צמיגים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יידויי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וברזלים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זיקוקין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המתפרעים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הצמיגים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הבוערים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פרק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העובדות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בכתב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18.11.20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45304-10-20</w:t>
        </w:r>
      </w:hyperlink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ההוראה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החוקית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במועדים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10-11.5.21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למהומות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ולהפרות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צמיגים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חסימת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יידויי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("</w:t>
      </w:r>
      <w:r>
        <w:rPr>
          <w:rFonts w:ascii="Calibri" w:hAnsi="Calibri" w:cs="Calibri"/>
          <w:b/>
          <w:b/>
          <w:bCs/>
          <w:rtl w:val="true"/>
        </w:rPr>
        <w:t>הפרות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הסדר</w:t>
      </w:r>
      <w:r>
        <w:rPr>
          <w:rFonts w:cs="Calibri" w:ascii="Calibri" w:hAnsi="Calibri"/>
          <w:b/>
          <w:bCs/>
          <w:rtl w:val="true"/>
        </w:rPr>
        <w:t>").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ההפגנות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מראש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והצטייד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קלע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דוד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להפגנות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אלאקצא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ושחרור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ראח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במועדים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בחסימת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כבישים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שנסעו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11.5.21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מהניידות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לחסימות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הכבישים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11.5.21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21:30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ההתפרעויות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שהתרחשו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הכבישים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לשגב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במחסום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המתפרעים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שעיכבו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המתפרעים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ביהודי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ההמון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הכביש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ההתרחשויות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צעק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שיחוסו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הועיל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ההמון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התנפל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ובצלעותיו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בידיים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בבעיטות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נזרקו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לשחוט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נופץ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חולץ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להרחיק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ובכתף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טראומטית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הפרעות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ובתאבון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בתפקוד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לפסיכותרפיה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טראומה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דחוף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באבנים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לאומני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אידיאולוגי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ובבטיחות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גזעני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משותפת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הראיות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3</w:t>
      </w:r>
      <w:r>
        <w:rPr>
          <w:rtl w:val="true"/>
          <w:lang w:eastAsia="he-IL"/>
        </w:rPr>
        <w:t>.</w:t>
        <w:tab/>
      </w:r>
      <w:r>
        <w:rPr>
          <w:rFonts w:ascii="David" w:hAnsi="David"/>
          <w:rtl w:val="true"/>
        </w:rPr>
        <w:t>במסגרת הראיות לעונש מטעם המאשימה הוגשו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רישומו הפלילי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הכולל הרשעה בעבירת שוד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בגינה הוטל על הנאשם מאסר בפועל למשך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מסמכים רפואיים של נפגע 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מהם עולה כי הנפגע הגיע למיון הכירורגי כשהוא מתלונן על כאבים בבית החזה ובגב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והיו קיימים שפשופים על פני בית החזה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הנפגע עבר בדיקות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עבר למיון האורתופדי ושוחרר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 הראיות לעונש העיד קורבן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פי עדותו הוא שירת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 את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ביחידות מסווגות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לגמלאות ועובד כעת כמנהל בכיר בחברה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 המקרה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היו מהומות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 לבדוק את שלום עובדיו ולאחר שראה שהם בסדר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התכוון לצאת לצפון לביתו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המשטרה הקימה מחסום וכיוונה את התנועה לכיוון נבטים ובנקודה מסוימת כאשר הגיע לפזורה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המון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חסמו לו את הגישה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על ידי אנשים ואם על ידי סלעים וצמיגים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ההמון עצר אותו והתחיל לרגום אותו בסלעים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שברו את כל זגוגיות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צעק להם בשפה הערבית שהוא ערבי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מהמילים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אטבח אל יהודים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יהודים כלב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הוא הבין שהם באו לרצוח יהודי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הוציאו אותו מהרכב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והחלו להכותו בסלעים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בקרשים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בבעיטות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ביניהם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נפגע העבירה ציין פרטים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הואיל ואלו אינם בכתב האישום אין להביאם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פי דברי קורבן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באותו רגע הוא הבין שזה הסוף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הולך למות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אינו יכול לגבור על ההמון וגם לא לשכנע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הגן על ראשו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שכב על הרצפה אחרי שהפילו אותו באגרופים ובבעיטות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ההמון צעק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אללה אכבר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הוא ראה רכבים נוספים שמגיעים ואמר שהוא נפרד מנכדו שנולד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שמע ישראל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על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כל יהודי שמחויב להגיד בסכנה כזו ונפרד מהעולם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אז שמע יריות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וריצות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 ברחו חלק נתפסו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הצליח להבין מה קורה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שותת 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ניגשו אליו קציני 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הושיבוהו לצד הרכב ושטפו את פניו במים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הוא היה שותת דם מראשו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כולו היה חבול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ואמר כי תוך כדי הלינץ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ניסה לחפש זוג עיניים רחמניות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ראה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עיניים רוצחות ועיניים שבאו לשתות דם של יהודי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וזה מה שראיתי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בתוך הרכב ראה סלעים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והרכב אשר היה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יפ חדש סקודה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ירד מהכביש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שטפו את 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נתנו לו לשתות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אמבולנס לא היה מסוגל להגיע למקום לאור המהומות שהיו באזור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ואז השוטרים וקציני המשטרה החליטו לפנותו בעצמם לבית החולים סורוקה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כאשר הגיע לבית החולים נכנס למיון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סירב להיבדק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אח ורופא שהיו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מהנימוק שהם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בדואים מאותה פזורה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ולדבריו סירב הואיל ולא רצה להאמין שדקה לפני רוצים לרצוח אותו ודקה אחרי רוצים לרפא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סירב ולא רצה להיות בבית החולים הזה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והיה מאוד נסער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בבית החולים עשו לו בדיקות הוא חתם על כתב ויתור לפני שקיבל את התוצאות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וחיפש דרך לחזור לצפון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לביתו ולילדיו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פי עדותו הנזק הנפשי הוא הנזק החמור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שעד היום הוא אינו מצליח לצאת ממנו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זה בא לידי ביטוי בכך שמשפחתו משלמת את המחיר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נהיה אדם פחות סובלני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פחות נעים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בקושי ישן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 על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ונמצא בטיפולים אצל פסיכולוג ופסיכיאטר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ואפילו הפקידה במקום עבודתו אמרה לו שמאז הפיגוע השתנה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וכך גם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אשתו ובנותיו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נפגע העבירה ביקש להתחשב בנזק הנפשי שנגרם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הוא מנסה להתמודד איתו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וזהו נזק עצום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נוטל גלולות לשינה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ישן שעתיים בקושי וקם עצבני בבוקר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לא היה אדם כזה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הנפגע הוסיף כי לפני האירוע היה אדם בריא בנפשו ובגופו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ונתן את מיטב שנותיו למדינת ישראל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מטופל נפשית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ובימים שהוא צריך לחבק את ילדיו ונכדיו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מתמודד עם סיוט שבני עוולה גרמו 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במסגרת הראיות לעונש מטעם הנאשם הוגשו מסמכים ביחס לשירות בצבא של בני דודיו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תסקיר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שירות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מבחן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lang w:eastAsia="he-IL"/>
        </w:rPr>
        <w:t>4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צנעת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הפרט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התסקיר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רווק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להתייחסותו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כלכלית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והתחברות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התרועע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למזער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שהשליך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חיצוניים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השתלשלות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שהובילו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בתחילה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להשתתף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בהפגנה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מראש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וחבריו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שכנעו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להתלוות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משותפים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הגעתו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לדבריו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ההמולה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מהשפעה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ההפגנה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והצטייד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כמתואר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כוונתו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לתוצאות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והשלכות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ולקחת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ולדבריו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מהאווירה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ותחושתו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ציפייה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הסיטואציה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מאפייני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אישיותו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למשמעות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ותוצאותיהם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נוקט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ומשמעויותיו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לפעול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באימפולסיביות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להתנהג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מעמיק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והשלכותיהם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להערכת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התבוננות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מעמיקה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ביקורתי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במניעיו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ולהודות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ולקחת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תוצאותיהם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והשלכותיהם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ועתיד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התבוננות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ביקורתית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בהתנהלות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ובדפוסי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המכשילים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לדפוסיו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האלימים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זקוק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בתחום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בשיחה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האידיאולוגיות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לארגון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תיאר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אכיפת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כגופים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חיוניים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שמטרתם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ולשמור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התושבים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וייתכן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השפיעו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שלילי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וורבליות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קוגניטיביות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תקינות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לדבריו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מחזיקה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בעמדות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חיוביות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להימנעות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פורצת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עתידית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לימודיות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ותעסוקתיות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המתאפיין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אימפולסיביות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קושי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בדחיית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סיפוקים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וסיפוק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צרכיו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פנימיים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מוחלשים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בגבולות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חיצוניים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תהליכי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התבוננות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בכשליו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ולקחת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בשקלול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מקיומה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האלימות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המליץ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הבעייתיות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בטיעונים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ההודאה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היטב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הכתובות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שכתוב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טענות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הצדדים</w:t>
      </w:r>
      <w:r>
        <w:rPr>
          <w:b/>
          <w:bCs/>
          <w:u w:val="single"/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lang w:eastAsia="he-IL"/>
        </w:rPr>
        <w:t>5</w:t>
      </w:r>
      <w:r>
        <w:rPr>
          <w:rtl w:val="true"/>
          <w:lang w:eastAsia="he-IL"/>
        </w:rPr>
        <w:t>.</w:t>
        <w:tab/>
      </w:r>
      <w:r>
        <w:rPr>
          <w:rFonts w:ascii="David" w:hAnsi="David"/>
          <w:b/>
          <w:b/>
          <w:bCs/>
          <w:rtl w:val="true"/>
        </w:rPr>
        <w:t>לטענת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במעשיו פגע בערכים המוגנים של שמירה על 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שלמות הגוף והנפש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שלום הציבור וביטחונו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שמירת הסדר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אורח החיים התקין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וכיבוד סדרי שלטון ושמירה עליהם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מעשיו של הנאשם הקימו באופן מובהק סיכון ממשי לחיי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והביאו לנזק פיזי ונפשי לא מבוטל לנפגע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משעה שמדובר במעשים אשר בוצעו על רקע אידיאולוגי ובתקופה נפיצה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מובן כי חומרתם רבה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ביצע מספר עבירות חמורות והשתתף במספר אירועים בפרק זמן קצר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תופעת האלימות על רקע גזעני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לאומני ואידיאולוגי בייחוד בתקופה בה אנו מצויים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מחייבת עליה ברמת הענישה וההרתעה לשם שמירה על בטחון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לתת ביטוי לכך כשהעבירות בוצעו תוך סיכון ממשי לחייהם של אזרחים תמימים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אם לא די בכך שנאלצו להתמודד עם ירי טילים מסיבי סביבם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מחשש כבד לחייהם במהלך מבצע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שומר החומות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מעשיו של הנאשם ואחרים שכמותו סיכנו את חייהם באופן ממשי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והטילו אימה ופחד לצאת לרחובות או לנסוע בכבישים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ולו רק בשל דתם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והתפרעויות אלימות אלו להן היה שותף היה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סיכנו גם את אנשי כוחות הביטחון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עבירות שהינן מעשה טרור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ומתוך מניע גזעני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ונקבעה נסיבה מחמירה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פשעי שנאה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המכפילה 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מידת הפגיעה של הנאשם בערכים המוגנים הינה גבוהה מאוד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תוך כדי תקופת לחימה שבמהלכה נורו לעבר ישראל אלפי רקטות לעבר המדינה נפתחה חזית נוספת פנימית בתוך 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במסגרתה אזרחי ישראל בעיקר מהמגזר הערבי אבל לא רק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פעלו במקומות רבים ברחבי הארץ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בצפון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במרכז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בדרום ובירושלים נגד כוחות הביטחון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תשתיות ונגד אזרחים אחרים ממוצא לאומי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זו בוצעו פעולות אלימות וקשות לרבות אירוע לינץ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חלקם נגד הגוף וחלקם נגד 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פעולות אלה לא נעשו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אויבי המדינה אלא מתושבים מהבית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אזרחי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אזרחים שהינם חלק ממרקם המשותף המחו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בים נאמנות סולידריות וערבות הדדית שהפכו להיות פשוטו כמשמעו לאויב מבית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הזו תוך כדי לחימה ותחת איום על חיי כל האזרחים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בתקופה בה אנשים מחרפים נפש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ים להגנת כלל אזרחי המדינה פעלו האנשים נגד המדינה ואנשי בטחון נגד שכניהם שותפיהם החולקים עימם פיסת ארץ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פעולה זו בוודאי בתקופת מלחמה חותרת תחת חיים משותפים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מעשים אלו היה צורך להפנות את כוחות הביטחון מעיסוקם נגד אויב במחוץ לפעולות בטחון פנים כדי שיש להם ככדי לערער ולזעזע את בטחון האישי של המדינה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שכניהם מבית שהפכו לאויב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פעולה זו פוגעת בבסיס האמנה החברתית אותה כל אזרחי המדינה אמורים לחלוק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נפגע העבירה חווה תחושות קשות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פחד ואימה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חוסר וודאות אם ישוב אי פעם לביתו ויפגוש את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נפגע העבירה פעל כל חייו למען הגנה ובטחונה של 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ונקלע לסכנת חיים ממשית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נגרמה בין היתר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הינו אזרח 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סיכן את חייו של אדם שכל חייו פעל להגן ולהציל את חייו של הנאשם ושל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וחוויה קשה ומזעזעת הזו חווה נפגע העבירה אך ורק בשל היותו יהודי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במחזות בתוקפות חשוכות שאין מקום שיקרו בביתו של העם היהודי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פעולה מעין זו הינה בעלת חומרה יתרה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פוגעת בתקווה ברעות ובשכנות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לראיה סיפר נפגע העבירה שהוא איבד את האמון אפילו ברופאים מהמגזר הערבי שיטפלו 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 בכדי נקבעה נסיבה מחמירה לפשעי שנאה המכפילה עונש תחת העונש המקסימלי שקובע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העונש המוטל בגין מעשים אלו צריך להביא לידי ביטוי את הסלידה באופן חד משמעי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בית המשפט להעביר מסר מרתיע לבל יעז איש להצית את אש הגזענות בקרבנו ולפגוע באדם תמים בשל מוצאו או דתו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מנת שאירועים חמורים כאלו או אף קלים יותר לא יחזרו על עצמם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תפקידו של בית המשפט להרתיע את אלו שאפילו רק שוקלים לצאת ולבצע עבירות חמורות דוגמת העבירות בהן הורשע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סבורה שיש בכוחו של בית המשפט כדי להשפיע על בטחון הציבור ולהגביר אמון הציבור ביניהם נפגעי 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ענישה מחמירה שתשקף את חומרתן של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תהווה גמול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והרתעה לעתיד לבוא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בידי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פסיקה חלוטה במקרים דומים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מאחר וטרם נגזרו דינם של תיקים דומים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ואלו שנגזר דינם ערעור מטעם המדינה תלוי ועומד בשל ענישה מקלה שאינה עומדת בקנה אחד עם חומרת העבירות ונסיבות ביצוען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העליון בערעורים על קולת העונש במקרים קלים יותר החמיר והכפיל את הענישה בחלק מהמקרים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עתרה לקביעת מתחם עונש הולם אחד למכלול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הנע בין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לענישה במסגרת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צוין כי אמנם מדובר בנאשם צעיר בגילו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בעת ביצוע העבירות היה בגיל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חרף גילו הצעיר נזקף לחובתו עברו הפלילי הכולל הרשעה מהעת האחרונה בשל ביצוע עבירת 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אותה ביצע מספר חודשים עובר לעבירות שביצע בתיק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והוא נדון ל 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אותם הוא מרצה בימים אלו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הגם שיש לזקוף לזכות הנאשם את הודאתו בכתב האישום המתוקן והחיסכון בזמן השיפוטי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לתת לכך משקל מועט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לחומרת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ומסקנות והמלצות שירות המבחן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התבקש לגזור את עונשו של הנאשם ברף העליון של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מאסרים מותנים ממושכים ומרתיעים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ופיצוי משמעותי לנפגע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למאסר אותו מרצה הנאשם כעת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התבקש כי עונשו של הנאשם ירוצה במצטבר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שצויין כי הנאשם הורשע גם בעבירה של הפרת חוקית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ומדובר במעצר בית אותו הפר בתיק השוד כדי לבצע את העבירות בתיק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לטענת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הנאשם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אמנם הצטייד הנאשם מראש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קלע דוד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אך בפועל לא בוצע בו כל שימוש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הגיע על מנת ליטול חלק בהפגנות בעת שהיו כבר בשיא התרחשותן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היה חלק ממי שתכנן או ארגן את ההפגנה וההתפרעויות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נטל חלק באירוע המתואר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לא היתה לו כל השפעה או יכולת שליטה על ההמון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הוא זה שהוביל את ההתפרעות בשטח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לא הסיט את ההמון לפגיעה במתלונן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אחר שזהותו אינה ידועה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היה בבחינת המון שהוסט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אכן יידה מספר אבנים לעבר רכבים ונידות 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בפועל לא פגע באף אחת מהן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והנזק שהנאשם גרם לו הוא באירוע בו נפגע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ולמרבה המזל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בהיבט הפיזי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הפגיעה במתלונן איננה קשה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החלק הארי של הנאשם בהתפרעות הסתכם ביידוי אבנים לעבר ניידות 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ממוגנות ולא נשקפה להן כל סכנה מיידוי האבנים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ובהתאם המאשימה ייחסה לנאשם ביצוע עבירה לפי </w:t>
      </w:r>
      <w:hyperlink r:id="rId2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332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 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החמור יותר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לסיבות שהביאו את הנאשם לבצע את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כעולה מכתב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באותם הימים היתה מתיחות רבה סביב מסגד אל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אקצא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והגם שברור כי אין מקום לקבל את ההתנהגות וההפגנה צריך שתהיה בהתאם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שהדבר הביא להתלהמות הקהל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ואירוע מהסוג הזה אינו אופייני כלל וכלל לאוכלוסייה ממנה מגיע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מגיע מהאוכלוסייה הבדואית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משחר המדינה חלק מהאוכלוסייה הזו שירת את המדינה בצבא ובכוחות הביטחון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חלק מבני משפחתו של הנאשם שירתו בצבא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וגאים בשירות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ההפניה לפסיקה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והפניה להנחיית פרקליט המדינה המבחינה בין יידוי אבנים ליידוי בקבוק 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ולכך שתקיפה בבקבוק תבערה הינה בעלת חומרת יתרה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ולאור האבחנה שיש לערוך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עותרת ההגנה לקבוע מתחם עונש הולם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–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לא חווה עצמו כטרוריסט בשעת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והופתע כאשר עניינו נחקר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שירות הביטחון הכללי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שוהה בכלא המוגדר כביטחוני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ומשפחתו אינם רואים עצמם כמי שהם נגד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כחלק ממנה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מהתסקיר עולה כי הנאשם מביע צער וחרטה על התנהגותו ומעורבותו הפלילית ומבין את משמעות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הודה בהזדמנות הראשונה ויש לזקוף לזכותו את ההודאה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חיסכון בזמן 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העדת וחקירת עדים 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ובהם נפגע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לעבר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אכן נגזר דינו של הנאשם בעבירת 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ננקטה שם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גזר הדין ניתן תוך כדי שהנאשם מנהל משפט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ולפני כן לא היה הנאשם בכלא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וזו הפעם הראשונה שהוא מרגיש מה זה לבצע עבירה ולקבל 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התבקש למקם את עונשו של הנאשם באמצע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והתבקש לחפוף את עונשו עם העונש שהוא מרצה כעת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שנטען כי זו היתה מעידה חד פעמית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והאווירה היתה של היסחפות ולא באמת היה יסוד נפשי של לבוא ולקטול יהודים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אמר כי עשה טעות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עם נפגע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מצטער על 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אמר כי הוא מבקש ממנו סליחה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שהוא יבין שזו היתה טעות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ביניהם כלום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ביקש שתינתן לו הזדמנות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בגלל המשפחה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eastAsia="he-IL"/>
        </w:rPr>
      </w:pPr>
      <w:r>
        <w:rPr>
          <w:rFonts w:cs="David" w:ascii="David" w:hAnsi="David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הערכים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המוגנים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ומתחם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העונש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lang w:eastAsia="he-IL"/>
        </w:rPr>
        <w:t>7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ושלטון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פגיעת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נקלע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הופגנה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כנגדו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יהודי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להסתיים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ההפגנות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גזעני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וכללו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זריקות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וחפצים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סממנים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יהודיים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התפרעויות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ותקיפות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לאומני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והביטחון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הצטייד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בכפפות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ומקלע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יהודים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רעול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והשתתף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בחסימת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כבישים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עצירת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שנסעו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יידוי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במחסום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שהקימו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מתפרעים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ועיכבו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ולכשאחר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צעק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ביהודי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ההמון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והוטח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הכביש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וההמון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התנפל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לרצפה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בראשו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בגבו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ובצלעותיו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בידיים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בבעיטות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ובאלות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ונזרקו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לשחוט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יהודי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נופץ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נאלצו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להשתמש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ברימוני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להרחיק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ההמון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לאומני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יהודי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המפורטות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המבוצע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מובן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פיזית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לחייו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8</w:t>
      </w:r>
      <w:r>
        <w:rPr>
          <w:rtl w:val="true"/>
          <w:lang w:eastAsia="he-IL"/>
        </w:rPr>
        <w:t>.</w:t>
        <w:tab/>
      </w:r>
      <w:hyperlink r:id="rId30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37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המאבק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מבוצעת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תכלית </w:t>
      </w:r>
      <w:hyperlink r:id="rId3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המאבק בטרור הינה לעלות מדרגה במאבק בטרור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החמרה בענישה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לשם כך נקבעה הוראה המכפילה את העונש של עבירה פלילית העולה כדי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מעשה טרור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במגבלת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להוסיף כי עליית מדרגה זו אינה רק במישור הענישה הפלילית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ולביצוע עבירה העולה לכדי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מעשה טרור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משמעויות גם בתחומים נוספים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משבחר המחוקק לקבוע הוראות בחוק אשר תכליתן מאבק בטרור ונקיטת צעדים עונשי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ם מחמירים כנגד מבצעי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מעשה טרור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על בית המשפט ליישם הנחיות אלו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בעבירות על רקע אידיאולוגי לאומני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שיקולי ההרתעה והגמול מהותיים ומרכזיים בשיקולי הענישה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החוק נועד להרחיב ולחדד את ארגז הכלים של רשויות החוק במלחמת החורמה שמנהלת מדינת ישראל נגד תופעת הטרור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מורכבותה ופניה הרבות והמסוכנות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יחד עם הכלים השונים שנוספו לארגז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ביקש המחוקק להתוות מדיניות ענישה מחמירה בעבירות טרור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לצד עבירות חדשות שנקבעו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נקבעה בסעיף </w:t>
      </w:r>
      <w:r>
        <w:rPr>
          <w:rFonts w:cs="David" w:ascii="David" w:hAnsi="David"/>
          <w:b/>
          <w:bCs/>
        </w:rPr>
        <w:t>37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לחוק הוראת החמרה כללית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לפיה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העובר עבירה שהיא מעשה טרור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>דינו – כפל העונש הקבוע לאותה עבירה אך לא יותר מ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</w:t>
      </w:r>
      <w:r>
        <w:rPr>
          <w:rFonts w:cs="David" w:ascii="David" w:hAnsi="David"/>
          <w:b/>
          <w:bCs/>
          <w:rtl w:val="true"/>
        </w:rPr>
        <w:t>" (</w:t>
      </w:r>
      <w:r>
        <w:rPr>
          <w:rFonts w:ascii="David" w:hAnsi="David"/>
          <w:b/>
          <w:b/>
          <w:bCs/>
          <w:rtl w:val="true"/>
        </w:rPr>
        <w:t>למעט מקרים חריגים המפורטים בסעיף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התפיסה שביסוד החמרת הענישה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היא שהיותה של עבירה מסוימת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מעשה טרור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כהגדרתו בחוק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הריהי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נסיבה מחמירה אינהרנטית</w:t>
      </w:r>
      <w:r>
        <w:rPr>
          <w:rFonts w:cs="David" w:ascii="David" w:hAnsi="David"/>
          <w:b/>
          <w:bCs/>
          <w:rtl w:val="true"/>
        </w:rPr>
        <w:t xml:space="preserve">"; </w:t>
      </w:r>
      <w:r>
        <w:rPr>
          <w:rFonts w:ascii="David" w:hAnsi="David"/>
          <w:b/>
          <w:b/>
          <w:bCs/>
          <w:rtl w:val="true"/>
        </w:rPr>
        <w:t xml:space="preserve">יחודן של עבירות אלו מצדיק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הדגשה מיוחדת הן של תכלית ההרתעה בענישה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והן של עיקרון הגמול</w:t>
      </w:r>
      <w:r>
        <w:rPr>
          <w:rFonts w:cs="David" w:ascii="David" w:hAnsi="David"/>
          <w:b/>
          <w:bCs/>
          <w:rtl w:val="true"/>
        </w:rPr>
        <w:t>" (</w:t>
      </w:r>
      <w:r>
        <w:rPr>
          <w:rFonts w:ascii="David" w:hAnsi="David"/>
          <w:b/>
          <w:b/>
          <w:bCs/>
          <w:rtl w:val="true"/>
        </w:rPr>
        <w:t>ראו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דברי הסבר להצעת חוק המאבק בטרור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התשע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2015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ח הממשלה </w:t>
      </w:r>
      <w:r>
        <w:rPr>
          <w:rFonts w:cs="David" w:ascii="David" w:hAnsi="David"/>
          <w:b/>
          <w:bCs/>
        </w:rPr>
        <w:t>1066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1104</w:t>
      </w:r>
      <w:r>
        <w:rPr>
          <w:rFonts w:cs="David" w:ascii="David" w:hAnsi="David"/>
          <w:b/>
          <w:bCs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הנה כי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המחוקק הורה על החמרת הענישה ועל עליית מדרגה במאבק בטרור במישור המשפט הפלילי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ואם זוהי מצוות המחוקק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הרי שתפקידו של בית המשפט – ליישמה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לא נוכל אפוא להנחות את עצמנו עוד לפי מדיניות הענישה שנהגה עובר לכניסתו של חוק המאבק בטרור לתוקף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ולהותיר את הוראות החוק בבחינת משפט עלי ספר</w:t>
      </w:r>
      <w:r>
        <w:rPr>
          <w:rFonts w:cs="David" w:ascii="David" w:hAnsi="David"/>
          <w:b/>
          <w:bCs/>
          <w:rtl w:val="true"/>
        </w:rPr>
        <w:t>, '</w:t>
      </w:r>
      <w:r>
        <w:rPr>
          <w:rFonts w:ascii="David" w:hAnsi="David"/>
          <w:b/>
          <w:b/>
          <w:bCs/>
          <w:rtl w:val="true"/>
        </w:rPr>
        <w:t>הלכה ואין מורין כן</w:t>
      </w:r>
      <w:r>
        <w:rPr>
          <w:rFonts w:cs="David" w:ascii="David" w:hAnsi="David"/>
          <w:b/>
          <w:bCs/>
          <w:rtl w:val="true"/>
        </w:rPr>
        <w:t xml:space="preserve">'..." </w:t>
      </w:r>
      <w:r>
        <w:rPr>
          <w:rFonts w:cs="David" w:ascii="David" w:hAnsi="David"/>
          <w:rtl w:val="true"/>
        </w:rPr>
        <w:t>(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1466/20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פלוני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25.6.2020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הוראת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נקבעה</w:t>
      </w:r>
      <w:r>
        <w:rPr>
          <w:rFonts w:cs="Times New Roman"/>
          <w:rtl w:val="true"/>
          <w:lang w:eastAsia="he-IL"/>
        </w:rPr>
        <w:t xml:space="preserve"> </w:t>
      </w:r>
      <w:hyperlink r:id="rId33">
        <w:r>
          <w:rPr>
            <w:rStyle w:val="Hyperlink"/>
            <w:rtl w:val="true"/>
            <w:lang w:eastAsia="he-IL"/>
          </w:rPr>
          <w:t>בסעיף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37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המאבק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מתקיימות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לכניסת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לתוקף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להנחות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ההדגשה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שמהוות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ההרתעה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והגמול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משנקט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המחוקק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למלחמה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המהוות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rtl w:val="true"/>
          <w:lang w:eastAsia="he-IL"/>
        </w:rPr>
        <w:t>לחומרת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התפרעות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יידוי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 xml:space="preserve">' </w:t>
      </w:r>
      <w:hyperlink r:id="rId34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292/22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מוחמד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חליל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29.5.2022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22-48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ונגזרו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התחתון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התפרעות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הפרעה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לשוטר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פזיזות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ורשלנות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ייצור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והתווספו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הועמדה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שערכאת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אמנם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בייצור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נפסקו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רלבנטיים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וישימים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וחומר</w:t>
      </w:r>
      <w:r>
        <w:rPr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אין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צורך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להכביר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במילים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שמעשיו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המשיב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חמורים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ביותר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אחת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החומרה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היתרה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הנודעת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לפעולות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יידוי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אבנים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והשלכת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בקבוקי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תבערה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[...] </w:t>
      </w:r>
      <w:r>
        <w:rPr>
          <w:b/>
          <w:b/>
          <w:bCs/>
          <w:rtl w:val="true"/>
          <w:lang w:eastAsia="he-IL"/>
        </w:rPr>
        <w:t>לעבר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כוחות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הביטחון</w:t>
      </w:r>
      <w:r>
        <w:rPr>
          <w:b/>
          <w:bCs/>
          <w:rtl w:val="true"/>
          <w:lang w:eastAsia="he-IL"/>
        </w:rPr>
        <w:t xml:space="preserve">", </w:t>
      </w:r>
      <w:r>
        <w:rPr>
          <w:b/>
          <w:b/>
          <w:bCs/>
          <w:rtl w:val="true"/>
          <w:lang w:eastAsia="he-IL"/>
        </w:rPr>
        <w:t>ועל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מדיניות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הנוהגת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מחמירה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וניתן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משקל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ממשי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לשיקולי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הרתעה</w:t>
      </w:r>
      <w:r>
        <w:rPr>
          <w:b/>
          <w:bCs/>
          <w:rtl w:val="true"/>
          <w:lang w:eastAsia="he-IL"/>
        </w:rPr>
        <w:t xml:space="preserve">" ... </w:t>
      </w:r>
      <w:r>
        <w:rPr>
          <w:b/>
          <w:b/>
          <w:bCs/>
          <w:rtl w:val="true"/>
          <w:lang w:eastAsia="he-IL"/>
        </w:rPr>
        <w:t>גם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חומרתן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הרבה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התפרעות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המונים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פעם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פעמיים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בציינו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מציבות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סכנה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ישירה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וממשית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לחיי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אדם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ואף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עלולות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להביא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לפגיעות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רציניות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בגוף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וברכוש</w:t>
      </w:r>
      <w:r>
        <w:rPr>
          <w:b/>
          <w:bCs/>
          <w:rtl w:val="true"/>
          <w:lang w:eastAsia="he-IL"/>
        </w:rPr>
        <w:t xml:space="preserve">", </w:t>
      </w:r>
      <w:r>
        <w:rPr>
          <w:b/>
          <w:b/>
          <w:bCs/>
          <w:rtl w:val="true"/>
          <w:lang w:eastAsia="he-IL"/>
        </w:rPr>
        <w:t>ולכן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לנקוט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במדיניות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תרתיע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ותרסן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התפרעויות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העלולות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לסחוף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ולצאת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מגדר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שליטה</w:t>
      </w:r>
      <w:r>
        <w:rPr>
          <w:b/>
          <w:bCs/>
          <w:rtl w:val="true"/>
          <w:lang w:eastAsia="he-IL"/>
        </w:rPr>
        <w:t>" ...</w:t>
      </w:r>
      <w:r>
        <w:rPr>
          <w:b/>
          <w:b/>
          <w:bCs/>
          <w:rtl w:val="true"/>
          <w:lang w:eastAsia="he-IL"/>
        </w:rPr>
        <w:t>הדברים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נכונים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ביתר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במקרה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כבענייננו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שכן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מעשיו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המשיב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פוטנציאל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הנזק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הטמון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בהם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עצום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ורב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בוצעו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לאחר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תכנון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מוקדם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ממניע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אידאולוגי</w:t>
      </w:r>
      <w:r>
        <w:rPr>
          <w:b/>
          <w:bCs/>
          <w:rtl w:val="true"/>
          <w:lang w:eastAsia="he-IL"/>
        </w:rPr>
        <w:t>-</w:t>
      </w:r>
      <w:r>
        <w:rPr>
          <w:b/>
          <w:b/>
          <w:bCs/>
          <w:rtl w:val="true"/>
          <w:lang w:eastAsia="he-IL"/>
        </w:rPr>
        <w:t>לאומני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ובזמן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הפרות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סדר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והתפרעויות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אלימות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...".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ב</w:t>
      </w:r>
      <w:hyperlink r:id="rId35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901/22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מוחמד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אסווד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24.2.2022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התפרעויות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חומות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ממניע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גזעני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רלבנטיים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לענייננו</w:t>
      </w:r>
      <w:r>
        <w:rPr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אחת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החומרה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הגלומה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התפרעויות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המונים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מציבות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סכנה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ישירה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וממשית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לחיי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אדם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ואף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עלולות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להוביל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לפגיעות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רציניות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בגוף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ורכוש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לפיכך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נקבע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לנקוט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במדיניות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תרתיע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ותרסן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התפרעויות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העלולות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לסחוף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ולצאת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מגדר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שליטה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... "</w:t>
      </w:r>
      <w:r>
        <w:rPr>
          <w:b/>
          <w:b/>
          <w:bCs/>
          <w:rtl w:val="true"/>
          <w:lang w:eastAsia="he-IL"/>
        </w:rPr>
        <w:t>התפרעויות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המונים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בכלל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רקע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לאומני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בפרט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צריכות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לזכות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לתגובה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עונשית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קשה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וכואבת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יהיה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מוצאם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המתפרעים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יהיה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כך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נוהגת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חוק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וכך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זכאים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לצפות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הבאים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בשעריו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המשפט</w:t>
      </w:r>
      <w:r>
        <w:rPr>
          <w:b/>
          <w:bCs/>
          <w:rtl w:val="true"/>
          <w:lang w:eastAsia="he-IL"/>
        </w:rPr>
        <w:t xml:space="preserve">"... </w:t>
      </w:r>
      <w:r>
        <w:rPr>
          <w:b/>
          <w:b/>
          <w:bCs/>
          <w:rtl w:val="true"/>
          <w:lang w:eastAsia="he-IL"/>
        </w:rPr>
        <w:t>הדבר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נכון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ביתר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בוצעו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ממניע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גזעני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שמהווה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נסיבה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מחמירה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שבכוחה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להכפיל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עונשו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מבצע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העבירה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להוביל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10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לפי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הקל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יותר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סעיף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144</w:t>
      </w:r>
      <w:r>
        <w:rPr>
          <w:b/>
          <w:b/>
          <w:bCs/>
          <w:rtl w:val="true"/>
          <w:lang w:eastAsia="he-IL"/>
        </w:rPr>
        <w:t>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</w:t>
      </w:r>
      <w:hyperlink r:id="rId36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b/>
          <w:bCs/>
          <w:rtl w:val="true"/>
          <w:lang w:eastAsia="he-IL"/>
        </w:rPr>
        <w:t xml:space="preserve">). </w:t>
      </w:r>
      <w:r>
        <w:rPr>
          <w:b/>
          <w:b/>
          <w:bCs/>
          <w:rtl w:val="true"/>
          <w:lang w:eastAsia="he-IL"/>
        </w:rPr>
        <w:t>בשים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לכך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נקבע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מכבר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שכאשר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מדובר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שבוצעו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מתוך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מניע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גזעני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נדחים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ככלל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שיקולי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אחרים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ובהם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אישיות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ושיקולי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שיקום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מפני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שיקולי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ההגנה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הציבור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וביטחונו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ושיקולי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הרתעת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היחיד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והרבים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...".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גזעניים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הפעלת</w:t>
      </w:r>
      <w:r>
        <w:rPr>
          <w:rFonts w:cs="Times New Roman"/>
          <w:rtl w:val="true"/>
          <w:lang w:eastAsia="he-IL"/>
        </w:rPr>
        <w:t xml:space="preserve"> </w:t>
      </w:r>
      <w:hyperlink r:id="rId37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144</w:t>
        </w:r>
        <w:r>
          <w:rPr>
            <w:rStyle w:val="Hyperlink"/>
            <w:rtl w:val="true"/>
            <w:lang w:eastAsia="he-IL"/>
          </w:rPr>
          <w:t>ו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38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רלבנטיים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וישימים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מכוח</w:t>
      </w:r>
      <w:r>
        <w:rPr>
          <w:rFonts w:cs="Times New Roman"/>
          <w:rtl w:val="true"/>
          <w:lang w:eastAsia="he-IL"/>
        </w:rPr>
        <w:t xml:space="preserve"> </w:t>
      </w:r>
      <w:hyperlink r:id="rId39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37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המאבק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בטרור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ב</w:t>
      </w:r>
      <w:hyperlink r:id="rId40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1466/20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דלעיל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בקטין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והפרת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שצויין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ערכאת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במדויק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הללו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שותפים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41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2165/14</w:t>
        </w:r>
      </w:hyperlink>
      <w:r>
        <w:rPr>
          <w:rtl w:val="true"/>
          <w:lang w:eastAsia="he-IL"/>
        </w:rPr>
        <w:t xml:space="preserve"> </w:t>
      </w:r>
      <w:r>
        <w:rPr>
          <w:lang w:eastAsia="he-IL"/>
        </w:rPr>
        <w:t>2187/14</w:t>
      </w:r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האדיה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21.4.2015</w:t>
      </w:r>
      <w:r>
        <w:rPr>
          <w:rtl w:val="true"/>
          <w:lang w:eastAsia="he-IL"/>
        </w:rPr>
        <w:t xml:space="preserve">));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צדקה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ונגרמו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ותפרים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4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3799/14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אבו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17.8.2015</w:t>
      </w:r>
      <w:r>
        <w:rPr>
          <w:rtl w:val="true"/>
          <w:lang w:eastAsia="he-IL"/>
        </w:rPr>
        <w:t xml:space="preserve">));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הוחמר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43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7142/18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איאד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דכור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29.5.2019</w:t>
      </w:r>
      <w:r>
        <w:rPr>
          <w:rtl w:val="true"/>
          <w:lang w:eastAsia="he-IL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9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המאבק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ובהכפלת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במגבלת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, </w:t>
      </w:r>
      <w:hyperlink r:id="rId44">
        <w:r>
          <w:rPr>
            <w:rStyle w:val="Hyperlink"/>
            <w:rtl w:val="true"/>
            <w:lang w:eastAsia="he-IL"/>
          </w:rPr>
          <w:t>בסעיף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37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א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שינוי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בבחינה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בהינתן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שהמחוקק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מהשלבים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בהמשך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המענה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המפורטות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לאומניים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אידיאולוגיים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וברכושו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מהסיבה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יהודי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לבטא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המוגנים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בסדרת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המופנות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ומתחייבת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תגובה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עותרים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ומנגד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תכלית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hyperlink r:id="rId45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37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המאבק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יבטא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ויבטא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הוראת</w:t>
      </w:r>
      <w:r>
        <w:rPr>
          <w:rFonts w:cs="Times New Roman"/>
          <w:rtl w:val="true"/>
          <w:lang w:eastAsia="he-IL"/>
        </w:rPr>
        <w:t xml:space="preserve"> </w:t>
      </w:r>
      <w:hyperlink r:id="rId46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37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המאבק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בלחימה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היבטיו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במעשיו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הפיזי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הנפשי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ותיאר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חווה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מתמודד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ויתמודד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מתחם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המחוקק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מדרגה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במאבק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לבטא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המדרגה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שכאלו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טרם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כניסת</w:t>
      </w:r>
      <w:r>
        <w:rPr>
          <w:rFonts w:cs="Times New Roman"/>
          <w:rtl w:val="true"/>
          <w:lang w:eastAsia="he-IL"/>
        </w:rPr>
        <w:t xml:space="preserve"> </w:t>
      </w:r>
      <w:hyperlink r:id="rId47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37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מאבק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לתוקף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כדוגמת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לאחריה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מחלוקת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במכלול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ההדוק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48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4910/13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אבר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29.10.2014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49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2519/14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אבו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קיעאן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29.12.2014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בסמיכות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שבקביעתו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ובמועדים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אינדיווידואלית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המסוימות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המשמעות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שילוב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המחוקק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האינדיבידואלי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לציביון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האינדיבידואלי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 xml:space="preserve">' </w:t>
      </w:r>
      <w:hyperlink r:id="rId50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1323/13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חסן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ואח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5.6.2013</w:t>
      </w:r>
      <w:r>
        <w:rPr>
          <w:rtl w:val="true"/>
          <w:lang w:eastAsia="he-IL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eastAsia="he-IL"/>
        </w:rPr>
      </w:pPr>
      <w:r>
        <w:rPr>
          <w:rFonts w:cs="David" w:ascii="David" w:hAnsi="David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הענישה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הנאשם יליד שנת </w:t>
      </w:r>
      <w:r>
        <w:rPr>
          <w:rFonts w:cs="David" w:ascii="David" w:hAnsi="David"/>
        </w:rPr>
        <w:t>2000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ולו עבר פלילי בעבירת 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בגינה הוא מרצה כעת מאסר בפועל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העבירות הנוכחיות בוצעו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היה משוחרר בתנאים מגבילים בגין הליך עבירת השוד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ותוך הפרתם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אינני מוצא מקום לחריגה ממתחם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לקולא ולא לחומרה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תסקיר שירות המבחן 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סוקר את נסיבותיו האישיות והמשפחתיות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הוא מעלה מקום לשיקולי שיקום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התמונה העולה מהתסקיר הינה בדבר רמת סיכון גבוהה להישנות התנהגות עוברת חוק בתחום האלימות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לזכותו של הנאשם יש להביא את קבלת 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יש לציין כי גם בעניין זה היתה בעייתיות מסוימת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והיה צורך לקבל שוב את המענה וההתייחסות לעובדות כתב האישום המתוקן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בהינתן עברו הפלילי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ובהעדר נימוקים למתן משקל לשיקולי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שעל הענישה להיות מעל הרף התחתון של מתחם העונש ההולם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שיקולי ענישה מרכזיים בעבירות הללו ובנסיבות כה חמורות של 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הינם שיקולי הרתעת 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הרתעת היחיד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והגמול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עבירות המהוות מעשה טרור מחייבות הדגשת שיקול הרתעת 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הגמול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לעולה מתסקיר שירות המבחן וחזרתו על ביצוע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וביצוען תוך שהוא מצוי בתנאים מגבילים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שיש לתת מקום גם לשיקול הרתעת היחיד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טען כי במשפחתו של הנאשם לוחמים המשרתים במילואים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וכמה ממשפחתו הקרובה שירתו בתפקידי לוחמה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וכך גם עולה מהמסמכים 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הוגשו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אני מוצא כי יש לתת משקל מסוים לנסיבות משפחתיות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הוא אינו גובר על הצורך במתן משקל מרכזי לשיקולי הענישה המפורטים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מוצא כי על הענישה להיות במסגרת חלקו העליון של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מעט מעל אמצעו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 למאסר בפועל יש להטיל מאסר מותנה משמעותי ופיצוי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על הפיצוי לבטא את הפגיעה הקשה אשר פגע הנאשם עם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בפגיעה משמעותית ולפיכך על הפיצוי להיות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הפיצוי בהליך הפלילי מבוצע על דרך האומדן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וכך ייעשה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>דנ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5625/16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קארין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בוקובזה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13.9.2017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למחלוקת בין הצדדים בשאלת אופן ריצוי המאסר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האם בחופף או במצטבר למאסר בפועל אשר הנאשם מרצה כעת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מוצא כי על הענישה להיות במצטבר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ביצע את העבירות הנוכחיות לאחר שביצע את עבירת השוד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ותוך כדי כך שההליך בגין עבירת השוד מתנהל כנגדו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אם לא די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שהנאשם היה משוחרר בתנאים במסגרת ההליך בגין עבירת השוד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היה בכך כדי להרתיעו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ביצע את העבירות הנוכחיות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הפרת תנאי השחרור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מקום לחפיפה בין העונשים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11</w:t>
      </w:r>
      <w:r>
        <w:rPr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לאור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האמור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גוזר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הבאים</w:t>
      </w:r>
      <w:r>
        <w:rPr>
          <w:b/>
          <w:bCs/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ינוכו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ינוכו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חופפים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מאסרו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על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 </w:t>
      </w: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  <w:u w:val="single"/>
          <w:lang w:eastAsia="he-IL"/>
        </w:rPr>
        <w:t>5129371</w:t>
      </w:r>
      <w:r>
        <w:rPr>
          <w:b/>
          <w:b/>
          <w:bCs/>
          <w:u w:val="single"/>
          <w:rtl w:val="true"/>
          <w:lang w:eastAsia="he-IL"/>
        </w:rPr>
        <w:t>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>.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100,000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הפיצוי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יבוצע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וממנה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למזכירות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  <w:lang w:eastAsia="he-IL"/>
        </w:rPr>
      </w:pPr>
      <w:r>
        <w:rPr>
          <w:b/>
          <w:bCs/>
          <w:color w:val="FFFFFF"/>
          <w:sz w:val="2"/>
          <w:szCs w:val="2"/>
          <w:lang w:eastAsia="he-IL"/>
        </w:rPr>
        <w:t>54678313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זכות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ערעור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מהיום</w:t>
      </w:r>
      <w:r>
        <w:rPr>
          <w:b/>
          <w:bCs/>
          <w:rtl w:val="true"/>
          <w:lang w:eastAsia="he-IL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 תמוז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יולי </w:t>
      </w:r>
      <w:r>
        <w:rPr>
          <w:rFonts w:cs="Arial" w:ascii="Arial" w:hAnsi="Arial"/>
          <w:b/>
          <w:bCs/>
        </w:rPr>
        <w:t>2022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יואל עדן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28246-06-21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עבדלעזיז עמראני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f" TargetMode="External"/><Relationship Id="rId4" Type="http://schemas.openxmlformats.org/officeDocument/2006/relationships/hyperlink" Target="http://www.nevo.co.il/law/70301/144f.a" TargetMode="External"/><Relationship Id="rId5" Type="http://schemas.openxmlformats.org/officeDocument/2006/relationships/hyperlink" Target="http://www.nevo.co.il/law/70301/152" TargetMode="External"/><Relationship Id="rId6" Type="http://schemas.openxmlformats.org/officeDocument/2006/relationships/hyperlink" Target="http://www.nevo.co.il/law/70301/287.a" TargetMode="External"/><Relationship Id="rId7" Type="http://schemas.openxmlformats.org/officeDocument/2006/relationships/hyperlink" Target="http://www.nevo.co.il/law/70301/329.a.2" TargetMode="External"/><Relationship Id="rId8" Type="http://schemas.openxmlformats.org/officeDocument/2006/relationships/hyperlink" Target="http://www.nevo.co.il/law/70301/332a.a" TargetMode="External"/><Relationship Id="rId9" Type="http://schemas.openxmlformats.org/officeDocument/2006/relationships/hyperlink" Target="http://www.nevo.co.il/law/70301/413e" TargetMode="External"/><Relationship Id="rId10" Type="http://schemas.openxmlformats.org/officeDocument/2006/relationships/hyperlink" Target="http://www.nevo.co.il/law/141771" TargetMode="External"/><Relationship Id="rId11" Type="http://schemas.openxmlformats.org/officeDocument/2006/relationships/hyperlink" Target="http://www.nevo.co.il/law/141771/37" TargetMode="External"/><Relationship Id="rId12" Type="http://schemas.openxmlformats.org/officeDocument/2006/relationships/hyperlink" Target="http://www.nevo.co.il/law/141771/37.a" TargetMode="External"/><Relationship Id="rId13" Type="http://schemas.openxmlformats.org/officeDocument/2006/relationships/hyperlink" Target="http://www.nevo.co.il/law/70301/332a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29.a.2" TargetMode="External"/><Relationship Id="rId16" Type="http://schemas.openxmlformats.org/officeDocument/2006/relationships/hyperlink" Target="http://www.nevo.co.il/law/141771/37" TargetMode="External"/><Relationship Id="rId17" Type="http://schemas.openxmlformats.org/officeDocument/2006/relationships/hyperlink" Target="http://www.nevo.co.il/law/141771" TargetMode="External"/><Relationship Id="rId18" Type="http://schemas.openxmlformats.org/officeDocument/2006/relationships/hyperlink" Target="http://www.nevo.co.il/law/70301/413e" TargetMode="External"/><Relationship Id="rId19" Type="http://schemas.openxmlformats.org/officeDocument/2006/relationships/hyperlink" Target="http://www.nevo.co.il/law/70301/144f.a" TargetMode="External"/><Relationship Id="rId20" Type="http://schemas.openxmlformats.org/officeDocument/2006/relationships/hyperlink" Target="http://www.nevo.co.il/law/70301/152" TargetMode="External"/><Relationship Id="rId21" Type="http://schemas.openxmlformats.org/officeDocument/2006/relationships/hyperlink" Target="http://www.nevo.co.il/law/70301/287.a" TargetMode="External"/><Relationship Id="rId22" Type="http://schemas.openxmlformats.org/officeDocument/2006/relationships/hyperlink" Target="http://www.nevo.co.il/law/70301/329.a.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141771/37" TargetMode="External"/><Relationship Id="rId25" Type="http://schemas.openxmlformats.org/officeDocument/2006/relationships/hyperlink" Target="http://www.nevo.co.il/law/70301/329.a.2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141771/37.a" TargetMode="External"/><Relationship Id="rId28" Type="http://schemas.openxmlformats.org/officeDocument/2006/relationships/hyperlink" Target="http://www.nevo.co.il/case/27093345" TargetMode="External"/><Relationship Id="rId29" Type="http://schemas.openxmlformats.org/officeDocument/2006/relationships/hyperlink" Target="http://www.nevo.co.il/law/70301/332a.a" TargetMode="External"/><Relationship Id="rId30" Type="http://schemas.openxmlformats.org/officeDocument/2006/relationships/hyperlink" Target="http://www.nevo.co.il/law/141771/37" TargetMode="External"/><Relationship Id="rId31" Type="http://schemas.openxmlformats.org/officeDocument/2006/relationships/hyperlink" Target="http://www.nevo.co.il/law/141771/37" TargetMode="External"/><Relationship Id="rId32" Type="http://schemas.openxmlformats.org/officeDocument/2006/relationships/hyperlink" Target="http://www.nevo.co.il/case/26489415" TargetMode="External"/><Relationship Id="rId33" Type="http://schemas.openxmlformats.org/officeDocument/2006/relationships/hyperlink" Target="http://www.nevo.co.il/law/141771/37" TargetMode="External"/><Relationship Id="rId34" Type="http://schemas.openxmlformats.org/officeDocument/2006/relationships/hyperlink" Target="http://www.nevo.co.il/case/28243256" TargetMode="External"/><Relationship Id="rId35" Type="http://schemas.openxmlformats.org/officeDocument/2006/relationships/hyperlink" Target="http://www.nevo.co.il/case/28296934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144f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141771/37" TargetMode="External"/><Relationship Id="rId40" Type="http://schemas.openxmlformats.org/officeDocument/2006/relationships/hyperlink" Target="http://www.nevo.co.il/case/26489415" TargetMode="External"/><Relationship Id="rId41" Type="http://schemas.openxmlformats.org/officeDocument/2006/relationships/hyperlink" Target="http://www.nevo.co.il/case/20221332" TargetMode="External"/><Relationship Id="rId42" Type="http://schemas.openxmlformats.org/officeDocument/2006/relationships/hyperlink" Target="http://www.nevo.co.il/case/16968075" TargetMode="External"/><Relationship Id="rId43" Type="http://schemas.openxmlformats.org/officeDocument/2006/relationships/hyperlink" Target="http://www.nevo.co.il/case/25046200" TargetMode="External"/><Relationship Id="rId44" Type="http://schemas.openxmlformats.org/officeDocument/2006/relationships/hyperlink" Target="http://www.nevo.co.il/law/141771/37.a" TargetMode="External"/><Relationship Id="rId45" Type="http://schemas.openxmlformats.org/officeDocument/2006/relationships/hyperlink" Target="http://www.nevo.co.il/law/141771/37" TargetMode="External"/><Relationship Id="rId46" Type="http://schemas.openxmlformats.org/officeDocument/2006/relationships/hyperlink" Target="http://www.nevo.co.il/law/141771/37" TargetMode="External"/><Relationship Id="rId47" Type="http://schemas.openxmlformats.org/officeDocument/2006/relationships/hyperlink" Target="http://www.nevo.co.il/law/141771/37" TargetMode="External"/><Relationship Id="rId48" Type="http://schemas.openxmlformats.org/officeDocument/2006/relationships/hyperlink" Target="http://www.nevo.co.il/case/13093721" TargetMode="External"/><Relationship Id="rId49" Type="http://schemas.openxmlformats.org/officeDocument/2006/relationships/hyperlink" Target="http://www.nevo.co.il/case/13101134" TargetMode="External"/><Relationship Id="rId50" Type="http://schemas.openxmlformats.org/officeDocument/2006/relationships/hyperlink" Target="http://www.nevo.co.il/case/6473037" TargetMode="External"/><Relationship Id="rId51" Type="http://schemas.openxmlformats.org/officeDocument/2006/relationships/hyperlink" Target="http://www.nevo.co.il/case/21477594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2023-09-28T10:35:00Z</dcterms:created>
  <dc:creator> </dc:creator>
  <dc:description/>
  <cp:keywords/>
  <dc:language>en-IL</dc:language>
  <cp:lastModifiedBy>h1</cp:lastModifiedBy>
  <dcterms:modified xsi:type="dcterms:W3CDTF">2023-09-28T10:35:00Z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עבדלעזיז עמראני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27093345;26489415:2;28243256;28296934;20221332;16968075;25046200;13093721;13101134;6473037;21477594</vt:lpwstr>
  </property>
  <property fmtid="{D5CDD505-2E9C-101B-9397-08002B2CF9AE}" pid="9" name="CITY">
    <vt:lpwstr>ב"ש</vt:lpwstr>
  </property>
  <property fmtid="{D5CDD505-2E9C-101B-9397-08002B2CF9AE}" pid="10" name="DATE">
    <vt:lpwstr>20220712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יואל עדן</vt:lpwstr>
  </property>
  <property fmtid="{D5CDD505-2E9C-101B-9397-08002B2CF9AE}" pid="14" name="LAWLISTTMP1">
    <vt:lpwstr>70301/332a.a:2;329.a.2:3;413e;144f.a;152;287.a;144f</vt:lpwstr>
  </property>
  <property fmtid="{D5CDD505-2E9C-101B-9397-08002B2CF9AE}" pid="15" name="LAWLISTTMP2">
    <vt:lpwstr>141771/037:9;037.a:2</vt:lpwstr>
  </property>
  <property fmtid="{D5CDD505-2E9C-101B-9397-08002B2CF9AE}" pid="16" name="LAWYER">
    <vt:lpwstr>זוהר נאור ;מאיר נבון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28246</vt:lpwstr>
  </property>
  <property fmtid="{D5CDD505-2E9C-101B-9397-08002B2CF9AE}" pid="23" name="NEWPARTB">
    <vt:lpwstr>06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390020220712</vt:lpwstr>
  </property>
  <property fmtid="{D5CDD505-2E9C-101B-9397-08002B2CF9AE}" pid="35" name="TYPE_N_DATE">
    <vt:lpwstr>39020220712</vt:lpwstr>
  </property>
  <property fmtid="{D5CDD505-2E9C-101B-9397-08002B2CF9AE}" pid="36" name="VOLUME">
    <vt:lpwstr/>
  </property>
  <property fmtid="{D5CDD505-2E9C-101B-9397-08002B2CF9AE}" pid="37" name="WORDNUMPAGES">
    <vt:lpwstr>18</vt:lpwstr>
  </property>
</Properties>
</file>