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2"/>
                <w:sz w:val="22"/>
                <w:szCs w:val="22"/>
                <w:rtl w:val="true"/>
              </w:rPr>
              <w:t>ת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2"/>
                <w:szCs w:val="22"/>
              </w:rPr>
              <w:t>28615-08-17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נ</w:t>
            </w:r>
            <w:r>
              <w:rPr>
                <w:sz w:val="22"/>
                <w:szCs w:val="22"/>
                <w:rtl w:val="true"/>
              </w:rPr>
              <w:t xml:space="preserve">' </w:t>
            </w:r>
            <w:r>
              <w:rPr>
                <w:sz w:val="22"/>
                <w:sz w:val="22"/>
                <w:szCs w:val="22"/>
                <w:rtl w:val="true"/>
              </w:rPr>
              <w:t>חמדוני</w:t>
            </w:r>
            <w:r>
              <w:rPr>
                <w:sz w:val="22"/>
                <w:szCs w:val="22"/>
                <w:rtl w:val="true"/>
              </w:rPr>
              <w:t>(</w:t>
            </w:r>
            <w:r>
              <w:rPr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sz w:val="22"/>
                <w:szCs w:val="22"/>
                <w:rtl w:val="true"/>
              </w:rPr>
              <w:t>)</w:t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טובי</w:t>
            </w:r>
            <w:r>
              <w:rPr>
                <w:rStyle w:val="TimesNewRomanTimesNewRoman"/>
                <w:rFonts w:eastAsia="Times New Roman"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פראס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חמדוני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"/>
          <w:szCs w:val="2"/>
        </w:rPr>
      </w:pPr>
      <w:r>
        <w:rPr>
          <w:rFonts w:cs="FrankRuehl" w:ascii="FrankRuehl" w:hAnsi="FrankRuehl"/>
          <w:sz w:val="2"/>
          <w:szCs w:val="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"/>
          <w:szCs w:val="2"/>
        </w:rPr>
      </w:pPr>
      <w:r>
        <w:rPr>
          <w:rFonts w:cs="FrankRuehl" w:ascii="FrankRuehl" w:hAnsi="FrankRuehl"/>
          <w:sz w:val="2"/>
          <w:szCs w:val="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"/>
          <w:szCs w:val="2"/>
          <w:u w:val="single"/>
        </w:rPr>
      </w:pPr>
      <w:r>
        <w:rPr>
          <w:sz w:val="2"/>
          <w:szCs w:val="2"/>
          <w:u w:val="single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כתב האישום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tl w:val="true"/>
        </w:rPr>
        <w:t xml:space="preserve">"),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>+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30.7.2017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התחמושת</w:t>
      </w:r>
      <w:r>
        <w:rPr>
          <w:rtl w:val="true"/>
        </w:rPr>
        <w:t xml:space="preserve">"),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סינוור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הרימון</w:t>
      </w:r>
      <w:r>
        <w:rPr>
          <w:rtl w:val="true"/>
        </w:rPr>
        <w:t xml:space="preserve">").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19:57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המתחם</w:t>
      </w:r>
      <w:r>
        <w:rPr>
          <w:rtl w:val="true"/>
        </w:rPr>
        <w:t xml:space="preserve">")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התיק</w:t>
      </w:r>
      <w:r>
        <w:rPr>
          <w:rtl w:val="true"/>
        </w:rPr>
        <w:t xml:space="preserve">").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הפח</w:t>
      </w:r>
      <w:r>
        <w:rPr>
          <w:rtl w:val="true"/>
        </w:rPr>
        <w:t xml:space="preserve">").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22:59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פיצוצייה</w:t>
      </w:r>
      <w:r>
        <w:rPr>
          <w:rtl w:val="true"/>
        </w:rPr>
        <w:t xml:space="preserve">",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כדקה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23:02</w:t>
      </w:r>
      <w:r>
        <w:rPr>
          <w:rtl w:val="true"/>
        </w:rPr>
        <w:t xml:space="preserve"> </w:t>
      </w:r>
      <w:r>
        <w:rPr>
          <w:rtl w:val="true"/>
        </w:rPr>
        <w:t>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הניידת</w:t>
      </w:r>
      <w:r>
        <w:rPr>
          <w:b/>
          <w:bCs/>
          <w:rtl w:val="true"/>
        </w:rPr>
        <w:t>"</w:t>
      </w:r>
      <w:r>
        <w:rPr>
          <w:rtl w:val="true"/>
        </w:rPr>
        <w:t>, "</w:t>
      </w:r>
      <w:r>
        <w:rPr>
          <w:b/>
          <w:b/>
          <w:bCs/>
          <w:rtl w:val="true"/>
        </w:rPr>
        <w:t>השוטרים</w:t>
      </w:r>
      <w:r>
        <w:rPr>
          <w:rtl w:val="true"/>
        </w:rPr>
        <w:t xml:space="preserve">"),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והתקרבה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23:04</w:t>
      </w:r>
      <w:r>
        <w:rPr>
          <w:rtl w:val="true"/>
        </w:rPr>
        <w:t xml:space="preserve"> </w:t>
      </w:r>
      <w:r>
        <w:rPr>
          <w:rtl w:val="true"/>
        </w:rPr>
        <w:t>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",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במנוסתו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המיכל</w:t>
      </w:r>
      <w:r>
        <w:rPr>
          <w:rtl w:val="true"/>
        </w:rPr>
        <w:t xml:space="preserve">").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ובסריקה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והרימון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14.2.2018</w:t>
      </w:r>
      <w:r>
        <w:rPr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ascii="David" w:hAnsi="David"/>
          <w:u w:val="single"/>
          <w:rtl w:val="true"/>
        </w:rPr>
        <w:t xml:space="preserve">תסקיר שירות המבחן </w:t>
      </w:r>
    </w:p>
    <w:p>
      <w:pPr>
        <w:pStyle w:val="Normal"/>
        <w:spacing w:lineRule="auto" w:line="360"/>
        <w:ind w:hanging="567" w:start="567" w:end="0"/>
        <w:jc w:val="both"/>
        <w:rPr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  <w:t xml:space="preserve">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27.3.2018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סנאן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בכריתת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טכנולוגי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2016-2017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tl w:val="true"/>
        </w:rPr>
        <w:t xml:space="preserve">,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והתנהלותו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המכשילה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חשיבתו</w:t>
      </w:r>
      <w:r>
        <w:rPr>
          <w:rtl w:val="true"/>
        </w:rPr>
        <w:t xml:space="preserve">, </w:t>
      </w:r>
      <w:r>
        <w:rPr>
          <w:rtl w:val="true"/>
        </w:rPr>
        <w:t>והעריך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כמשמורנים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צריכתם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מהשיחה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אופיינה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ובמזעור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ההתנהגותיים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, </w:t>
      </w:r>
      <w:r>
        <w:rPr>
          <w:rtl w:val="true"/>
        </w:rPr>
        <w:t>שתחדד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sz w:val="2"/>
          <w:szCs w:val="2"/>
          <w:u w:val="single"/>
        </w:rPr>
      </w:pPr>
      <w:r>
        <w:rPr>
          <w:rFonts w:eastAsia="Calibri" w:cs="Calibri" w:ascii="Calibri" w:hAnsi="Calibri"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/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. 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תעבורתי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36093-03-14</w:t>
        </w:r>
      </w:hyperlink>
      <w:r>
        <w:rPr>
          <w:rtl w:val="true"/>
        </w:rPr>
        <w:t xml:space="preserve"> 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. 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>
          <w:u w:val="single"/>
        </w:rPr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.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וקטלני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ובלעדי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David" w:hAnsi="David" w:eastAsia="Calibri" w:cs="Calibri"/>
        </w:rPr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/>
        <w:t>9.16</w:t>
      </w:r>
      <w:r>
        <w:rPr>
          <w:rtl w:val="true"/>
        </w:rPr>
        <w:t xml:space="preserve"> </w:t>
      </w:r>
      <w:r>
        <w:rPr>
          <w:rtl w:val="true"/>
        </w:rPr>
        <w:t>המתווה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David" w:hAnsi="David" w:eastAsia="Calibri" w:cs="Calibri"/>
        </w:rPr>
      </w:pPr>
      <w:r>
        <w:rPr>
          <w:rFonts w:eastAsia="Calibri" w:cs="Calibri" w:ascii="David" w:hAnsi="David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Calibri" w:hAnsi="Calibri"/>
        </w:rPr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Calibri" w:hAnsi="Calibri"/>
        </w:rPr>
      </w:pPr>
      <w:r>
        <w:rPr>
          <w:rFonts w:ascii="Calibri" w:hAnsi="Calibri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36093-03-14</w:t>
        </w:r>
      </w:hyperlink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ההגנה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זעזע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/>
        <w:t>21</w:t>
      </w:r>
      <w:r>
        <w:rPr>
          <w:rtl w:val="true"/>
        </w:rPr>
        <w:t xml:space="preserve">. 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וישנם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</w:rPr>
          <w:t>5668/13</w:t>
        </w:r>
        <w:r>
          <w:rPr>
            <w:rStyle w:val="Hyperlink"/>
            <w:color w:val="0000FF"/>
            <w:u w:val="single"/>
            <w:rtl w:val="true"/>
          </w:rPr>
          <w:t xml:space="preserve">‏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17.6.2016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1261/15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‏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3.9.2015</w:t>
      </w:r>
      <w:r>
        <w:rPr>
          <w:rtl w:val="true"/>
        </w:rPr>
        <w:t>)).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>).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ויוצרות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14.9.2011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2368/11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ג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מאל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נפאע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4.12.2011</w:t>
      </w:r>
      <w:r>
        <w:rPr>
          <w:color w:val="000000"/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זראיעה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21.02.2012</w:t>
      </w:r>
      <w:r>
        <w:rPr>
          <w:color w:val="000000"/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2918/13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דבס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18.7.2013</w:t>
      </w:r>
      <w:r>
        <w:rPr>
          <w:color w:val="000000"/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5913/11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הייב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12.9.2012</w:t>
      </w:r>
      <w:r>
        <w:rPr>
          <w:color w:val="000000"/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5900/15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אייל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מעוז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10.5.2016</w:t>
      </w:r>
      <w:r>
        <w:rPr>
          <w:color w:val="000000"/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8959/14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דנ</w:t>
      </w:r>
      <w:r>
        <w:rPr>
          <w:b/>
          <w:b/>
          <w:bCs/>
          <w:rtl w:val="true"/>
        </w:rPr>
        <w:t>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24.6.2015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 xml:space="preserve">. </w:t>
        <w:tab/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</w:rPr>
          <w:t>9702/16</w:t>
        </w:r>
        <w:r>
          <w:rPr>
            <w:rStyle w:val="Hyperlink"/>
            <w:color w:val="0000FF"/>
            <w:u w:val="single"/>
            <w:rtl w:val="true"/>
          </w:rPr>
          <w:t xml:space="preserve">‏ 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13.9.2017</w:t>
      </w:r>
      <w:r>
        <w:rPr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1"/>
        <w:ind w:start="1440" w:end="1134"/>
        <w:jc w:val="both"/>
        <w:rPr>
          <w:color w:val="000000"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בפסיקת בית משפט זה באה לידי ביטוי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בשורה ארוכה של פסקי 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מדיניות של החמרה בענישה בעבירות נשק </w:t>
      </w:r>
      <w:r>
        <w:rPr>
          <w:b/>
          <w:bCs/>
          <w:rtl w:val="true"/>
        </w:rPr>
        <w:t>(</w:t>
      </w:r>
      <w:r>
        <w:rPr>
          <w:b/>
          <w:b/>
          <w:bCs/>
          <w:color w:val="000000"/>
          <w:rtl w:val="true"/>
        </w:rPr>
        <w:t>ראו למשל</w:t>
      </w:r>
      <w:r>
        <w:rPr>
          <w:b/>
          <w:bCs/>
          <w:color w:val="000000"/>
          <w:rtl w:val="true"/>
        </w:rPr>
        <w:t xml:space="preserve">: </w:t>
      </w:r>
      <w:hyperlink r:id="rId2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4945/13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 ישראל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 xml:space="preserve">עבד אלכרים סלימאן </w:t>
      </w:r>
      <w:r>
        <w:rPr>
          <w:b/>
          <w:bCs/>
          <w:color w:val="000000"/>
          <w:rtl w:val="true"/>
        </w:rPr>
        <w:t>[</w:t>
      </w:r>
      <w:r>
        <w:rPr>
          <w:b/>
          <w:bCs/>
          <w:color w:val="000000"/>
        </w:rPr>
        <w:t>19.1.2014</w:t>
      </w:r>
      <w:r>
        <w:rPr>
          <w:b/>
          <w:bCs/>
          <w:color w:val="000000"/>
          <w:rtl w:val="true"/>
        </w:rPr>
        <w:t xml:space="preserve">); </w:t>
      </w:r>
      <w:hyperlink r:id="rId2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2251/11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נפאע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 ישראל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בפסקה </w:t>
      </w:r>
      <w:r>
        <w:rPr>
          <w:b/>
          <w:bCs/>
          <w:color w:val="000000"/>
        </w:rPr>
        <w:t>7</w:t>
      </w:r>
      <w:r>
        <w:rPr>
          <w:b/>
          <w:bCs/>
          <w:color w:val="000000"/>
          <w:rtl w:val="true"/>
        </w:rPr>
        <w:t xml:space="preserve"> (</w:t>
      </w:r>
      <w:r>
        <w:rPr>
          <w:b/>
          <w:bCs/>
          <w:color w:val="000000"/>
        </w:rPr>
        <w:t>4.12.2011</w:t>
      </w:r>
      <w:r>
        <w:rPr>
          <w:b/>
          <w:bCs/>
          <w:color w:val="000000"/>
          <w:rtl w:val="true"/>
        </w:rPr>
        <w:t xml:space="preserve">); </w:t>
      </w:r>
      <w:hyperlink r:id="rId2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6371/11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 ישראל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 xml:space="preserve">הייבי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18.12.2011</w:t>
      </w:r>
      <w:r>
        <w:rPr>
          <w:b/>
          <w:bCs/>
          <w:color w:val="000000"/>
          <w:rtl w:val="true"/>
        </w:rPr>
        <w:t xml:space="preserve">); </w:t>
      </w:r>
      <w:hyperlink r:id="rId2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1323/13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חסן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 xml:space="preserve">מדינת </w:t>
      </w:r>
      <w:r>
        <w:rPr>
          <w:b/>
          <w:b/>
          <w:bCs/>
          <w:rtl w:val="true"/>
        </w:rPr>
        <w:t xml:space="preserve">ישראל </w:t>
      </w:r>
      <w:r>
        <w:rPr>
          <w:b/>
          <w:bCs/>
          <w:rtl w:val="true"/>
        </w:rPr>
        <w:t>(</w:t>
      </w:r>
      <w:r>
        <w:rPr>
          <w:b/>
          <w:bCs/>
        </w:rPr>
        <w:t>5.6.2013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גם כאשר מדובר בעבירות של החזקה ונשיאת נשק שלא כדין 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בית משפט זה עמד לא פעם על החומרה הרבה הטמונה בעבירות אלו ועל הצורך להרתיע מפניהן בדרך של הטלת </w:t>
      </w:r>
      <w:r>
        <w:rPr>
          <w:b/>
          <w:b/>
          <w:bCs/>
          <w:color w:val="000000"/>
          <w:rtl w:val="true"/>
        </w:rPr>
        <w:t>עונשי מאסר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גם על נאשם שאין לו עבר פלילי מכביד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וראו למשל</w:t>
      </w:r>
      <w:r>
        <w:rPr>
          <w:b/>
          <w:bCs/>
          <w:color w:val="000000"/>
          <w:rtl w:val="true"/>
        </w:rPr>
        <w:t xml:space="preserve">: </w:t>
      </w:r>
      <w:hyperlink r:id="rId3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8846/15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דראז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 xml:space="preserve">מדינת ישראל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13.3.2016</w:t>
      </w:r>
      <w:r>
        <w:rPr>
          <w:b/>
          <w:bCs/>
          <w:color w:val="000000"/>
          <w:rtl w:val="true"/>
        </w:rPr>
        <w:t xml:space="preserve">); </w:t>
      </w:r>
      <w:hyperlink r:id="rId3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5681/14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 ישראל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 xml:space="preserve">טאטור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1.2.2015</w:t>
      </w:r>
      <w:r>
        <w:rPr>
          <w:b/>
          <w:bCs/>
          <w:color w:val="000000"/>
          <w:rtl w:val="true"/>
        </w:rPr>
        <w:t xml:space="preserve">)). </w:t>
      </w:r>
      <w:r>
        <w:rPr>
          <w:b/>
          <w:b/>
          <w:bCs/>
          <w:color w:val="000000"/>
          <w:rtl w:val="true"/>
        </w:rPr>
        <w:t>הכלל של השתת מאסר בפועל לתקופה משמעותית בעבירת החזקת נשק חל גם כאשר מדובר בעבירות שאינן במדרג הגבוה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כמו מקרה זה </w:t>
      </w:r>
      <w:r>
        <w:rPr>
          <w:b/>
          <w:bCs/>
          <w:color w:val="000000"/>
          <w:rtl w:val="true"/>
        </w:rPr>
        <w:t>(</w:t>
      </w:r>
      <w:hyperlink r:id="rId32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5220/09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עוואודה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 xml:space="preserve">מדינת ישראל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30.12.2009</w:t>
      </w:r>
      <w:r>
        <w:rPr>
          <w:b/>
          <w:bCs/>
          <w:color w:val="000000"/>
          <w:rtl w:val="true"/>
        </w:rPr>
        <w:t xml:space="preserve">); </w:t>
      </w:r>
      <w:hyperlink r:id="rId3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2398/14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אלהזייל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 xml:space="preserve">מדינת ישראל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8.7.2014</w:t>
      </w:r>
      <w:r>
        <w:rPr>
          <w:b/>
          <w:bCs/>
          <w:color w:val="000000"/>
          <w:rtl w:val="true"/>
        </w:rPr>
        <w:t xml:space="preserve">)). </w:t>
      </w:r>
      <w:r>
        <w:rPr>
          <w:b/>
          <w:b/>
          <w:bCs/>
          <w:color w:val="000000"/>
          <w:rtl w:val="true"/>
        </w:rPr>
        <w:t>במסגרת זו יש להביא בחשבון כי גם פעילות עבריינית הכוללת העברת כלי נשק ממקום למקום באופן בלתי חוקי לרשותו של הנאשם והחזקתו בו למשך זמן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ללא כל פיקוח ובקרה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עשויה להביא בסופו של יום לתוצאות הרות אסון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נוכח היקפן המתרחב של עבירות המבוצעות בנשק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החזקת נשק באופן בלתי חוקי תוך יצירת הפתח והאפשרות הזמינה לשימוש בו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מהווה סיכון של ממש לשלום הציבור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ראו גם</w:t>
      </w:r>
      <w:r>
        <w:rPr>
          <w:b/>
          <w:bCs/>
          <w:color w:val="000000"/>
          <w:rtl w:val="true"/>
        </w:rPr>
        <w:t xml:space="preserve">: </w:t>
      </w:r>
      <w:hyperlink r:id="rId3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1903/13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עיאשה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 xml:space="preserve">מדינת ישראל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14.7.2013</w:t>
      </w:r>
      <w:r>
        <w:rPr>
          <w:b/>
          <w:bCs/>
          <w:color w:val="000000"/>
          <w:rtl w:val="true"/>
        </w:rPr>
        <w:t xml:space="preserve">); </w:t>
      </w:r>
      <w:hyperlink r:id="rId3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1323/13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בעניין חסן הנ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 xml:space="preserve">). </w:t>
      </w:r>
      <w:r>
        <w:rPr>
          <w:b/>
          <w:b/>
          <w:bCs/>
          <w:color w:val="000000"/>
          <w:rtl w:val="true"/>
        </w:rPr>
        <w:t>זאת על אחת כמה וכמה שעה שמדובר בסוג של כלי נשק שעשוי להביא למותו של אדם</w:t>
      </w:r>
      <w:r>
        <w:rPr>
          <w:color w:val="000000"/>
          <w:rtl w:val="true"/>
        </w:rPr>
        <w:t>".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color w:val="000000"/>
          <w:rtl w:val="true"/>
        </w:rPr>
        <w:tab/>
        <w:tab/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</w:t>
      </w:r>
      <w:r>
        <w:rPr>
          <w:b/>
          <w:b/>
          <w:bCs/>
          <w:rtl w:val="true"/>
        </w:rPr>
        <w:t>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8.3.2017</w:t>
      </w:r>
      <w:r>
        <w:rPr>
          <w:rtl w:val="true"/>
        </w:rPr>
        <w:t>):</w:t>
      </w:r>
    </w:p>
    <w:p>
      <w:pPr>
        <w:pStyle w:val="1"/>
        <w:ind w:start="1440" w:end="1134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בית משפט זה עמד לא פעם על חומרתן של עבירות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ובכללן עבירות של החזקת ונשיאת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 שהוא מציין את חומרת המעשה ואת פוטנציאל הנזק הכרוך 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נשק המתגלגל מיד ליד עלול להגיע לידי גורמים עברייניים או לפעילות ביטחונית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פגיעתו הרעה מורגשת ומהווה איום על שלום הציבור כולו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 xml:space="preserve">כתוצאה מכך גדל ההכרח להרתיע את היחיד והרבים מפני עיסוק בכך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ראו </w:t>
      </w:r>
      <w:r>
        <w:rPr>
          <w:b/>
          <w:b/>
          <w:bCs/>
          <w:color w:val="000000"/>
          <w:rtl w:val="true"/>
        </w:rPr>
        <w:t>למשל</w:t>
      </w:r>
      <w:r>
        <w:rPr>
          <w:b/>
          <w:bCs/>
          <w:color w:val="000000"/>
          <w:rtl w:val="true"/>
        </w:rPr>
        <w:t xml:space="preserve">: </w:t>
      </w:r>
      <w:hyperlink r:id="rId3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2422/14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דר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 ישראל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פסקה </w:t>
      </w:r>
      <w:r>
        <w:rPr>
          <w:b/>
          <w:bCs/>
          <w:color w:val="000000"/>
        </w:rPr>
        <w:t>10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 xml:space="preserve">וההפניות שם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21.12.2014</w:t>
      </w:r>
      <w:r>
        <w:rPr>
          <w:b/>
          <w:bCs/>
          <w:color w:val="000000"/>
          <w:rtl w:val="true"/>
        </w:rPr>
        <w:t xml:space="preserve">); </w:t>
      </w:r>
      <w:hyperlink r:id="rId3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2918/13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דבס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 ישראל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פסקה </w:t>
      </w:r>
      <w:r>
        <w:rPr>
          <w:b/>
          <w:bCs/>
          <w:color w:val="000000"/>
        </w:rPr>
        <w:t>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 xml:space="preserve">וההפניות שם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18.7.2013</w:t>
      </w:r>
      <w:r>
        <w:rPr>
          <w:b/>
          <w:bCs/>
          <w:color w:val="000000"/>
          <w:rtl w:val="true"/>
        </w:rPr>
        <w:t xml:space="preserve">)). </w:t>
      </w:r>
      <w:r>
        <w:rPr>
          <w:b/>
          <w:b/>
          <w:bCs/>
          <w:color w:val="000000"/>
          <w:rtl w:val="true"/>
        </w:rPr>
        <w:t xml:space="preserve">לא אחת גם צוין כי קיימת מגמת החמרה הדרגתית בעונשים המושתים על עבריינות נשק </w:t>
      </w:r>
      <w:r>
        <w:rPr>
          <w:b/>
          <w:bCs/>
          <w:color w:val="000000"/>
          <w:rtl w:val="true"/>
        </w:rPr>
        <w:t>(</w:t>
      </w:r>
      <w:hyperlink r:id="rId3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4945/13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 ישראל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סלימאן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פסקה </w:t>
      </w:r>
      <w:r>
        <w:rPr>
          <w:b/>
          <w:bCs/>
          <w:color w:val="000000"/>
        </w:rPr>
        <w:t>14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 xml:space="preserve">וההפניות שם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19.1.2014</w:t>
      </w:r>
      <w:r>
        <w:rPr>
          <w:b/>
          <w:bCs/>
          <w:color w:val="000000"/>
          <w:rtl w:val="true"/>
        </w:rPr>
        <w:t xml:space="preserve">); </w:t>
      </w:r>
      <w:hyperlink r:id="rId4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9373/10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ותד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 xml:space="preserve">מדינת ישראל  </w:t>
      </w:r>
      <w:r>
        <w:rPr>
          <w:b/>
          <w:bCs/>
          <w:rtl w:val="true"/>
        </w:rPr>
        <w:t>(</w:t>
      </w:r>
      <w:r>
        <w:rPr/>
        <w:t>14.9.2011</w:t>
      </w:r>
      <w:r>
        <w:rPr>
          <w:rtl w:val="true"/>
        </w:rPr>
        <w:t>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color w:val="000000"/>
          <w:rtl w:val="true"/>
        </w:rPr>
        <w:t>בע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color w:val="000000"/>
          <w:rtl w:val="true"/>
        </w:rPr>
        <w:t>(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541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</w:t>
      </w:r>
      <w:r>
        <w:rPr>
          <w:rtl w:val="true"/>
        </w:rPr>
        <w:t>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tl w:val="true"/>
        </w:rPr>
        <w:t>: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1"/>
        <w:ind w:hanging="306" w:start="1440" w:end="1134"/>
        <w:jc w:val="both"/>
        <w:rPr/>
      </w:pPr>
      <w:r>
        <w:rPr>
          <w:rtl w:val="true"/>
        </w:rPr>
        <w:tab/>
        <w:t>"</w:t>
      </w:r>
      <w:r>
        <w:rPr>
          <w:b/>
          <w:b/>
          <w:bCs/>
          <w:rtl w:val="true"/>
        </w:rPr>
        <w:t>בבוא 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 לגזור את הדין בעבירה של החזקה ונשיאה של נשק עליו להתחשב בנסיבות שבהן באה לידי ביטוי החומרה המיוחדת שבעבירה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בין 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ייתן 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 דעתו על סוג הנשק המוחזק שלא 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על התכלית שלשמה הוא מוחזק ועל הסכנה המוחשית שיעשה בו שימוש </w:t>
      </w:r>
      <w:r>
        <w:rPr>
          <w:b/>
          <w:bCs/>
          <w:rtl w:val="true"/>
        </w:rPr>
        <w:t>(</w:t>
      </w:r>
      <w:r>
        <w:rPr>
          <w:b/>
          <w:b/>
          <w:bCs/>
          <w:color w:val="000000"/>
          <w:rtl w:val="true"/>
        </w:rPr>
        <w:t xml:space="preserve">השוו </w:t>
      </w:r>
      <w:hyperlink r:id="rId42"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625/82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b/>
          <w:bCs/>
          <w:rtl w:val="true"/>
        </w:rPr>
        <w:t>[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]). </w:t>
      </w:r>
      <w:r>
        <w:rPr>
          <w:b/>
          <w:b/>
          <w:bCs/>
          <w:u w:val="single"/>
          <w:rtl w:val="true"/>
        </w:rPr>
        <w:t>כאשר מדובר בנשק שעל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פי טיבו אינו מיועד להגנה עצמית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וכל כולו נשק התקפי רב עוצמה אשר השימוש בו יכול להביא להרג ללא הבחנה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יש בעבירת ההחזקה והנשיאה של אותו נשק חומרה מיוחדת</w:t>
      </w:r>
      <w:r>
        <w:rPr>
          <w:rtl w:val="true"/>
        </w:rPr>
        <w:t>" (</w:t>
      </w:r>
      <w:r>
        <w:rPr>
          <w:rtl w:val="true"/>
        </w:rPr>
        <w:t xml:space="preserve">ההדגשה אינה במקור </w:t>
      </w:r>
      <w:r>
        <w:rPr>
          <w:rtl w:val="true"/>
        </w:rPr>
        <w:t xml:space="preserve">-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>).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tl w:val="true"/>
        </w:rPr>
        <w:t xml:space="preserve">, </w:t>
      </w:r>
      <w:r>
        <w:rPr>
          <w:rtl w:val="true"/>
        </w:rPr>
        <w:t>מאובזר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הנרחבות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tl w:val="true"/>
        </w:rPr>
        <w:t xml:space="preserve">"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</w:rPr>
          <w:t>207/08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ליאור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2.11.2008</w:t>
      </w:r>
      <w:r>
        <w:rPr>
          <w:color w:val="000000"/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עוואודה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30.12.2009</w:t>
      </w:r>
      <w:r>
        <w:rPr>
          <w:color w:val="000000"/>
          <w:rtl w:val="true"/>
        </w:rPr>
        <w:t xml:space="preserve">)),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נגזרו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34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עודתאללה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29.9.2013</w:t>
      </w:r>
      <w:r>
        <w:rPr>
          <w:rtl w:val="true"/>
        </w:rPr>
        <w:t xml:space="preserve">); </w:t>
      </w:r>
      <w:hyperlink r:id="rId4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24364-10-16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5.7.2017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22.2.2007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336-05-16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פדילה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6.9.2017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26087-05-16</w:t>
        </w:r>
      </w:hyperlink>
      <w:r>
        <w:rPr>
          <w:rtl w:val="true"/>
        </w:rPr>
        <w:t xml:space="preserve"> (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מהדי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16.11.2016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החזקתו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 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מהדי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12.12.2017</w:t>
      </w:r>
      <w:r>
        <w:rPr>
          <w:rtl w:val="true"/>
        </w:rPr>
        <w:t xml:space="preserve">)).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בנותנו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1"/>
        <w:ind w:start="1440" w:end="1134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הצדדים הציגו הן לפני בית משפט המחוזי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 בדיון שלפנינו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פסקי דין רבים התומכים כל אחד בשיטתו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 בכה וזה בכה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לעניין רמת הענישה הנוהגת ביחס לעבירות החזקת 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ידוע הקושי להסיק את רמת הענישה הנוהגת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שעה שכל גזר דין מושפע מן הנסיבות הייחודיות של המעשה ושל העושה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 הרי זה כהרי 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מכל מקום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 שסנגורו של בסל הציג לפנינו פסקי דין שבהם נקבעה רמת ענישה הדומה במידה מסויימת לענייננו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דומני כי הצדק עם המדינה בטענתה שרמת הענישה המקובלת בעת האחרונה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והראויה בשים לב למגמת ההחמרה עליה עמדתי 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גבוהה באופן ניכר מזו שנגזרה בעניין דנן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ודוק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בסל הוציא את הנשק מרשותו והעבירו לאחר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מבלי לדעת מה יעלה בגורלו ולמה ישמש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באופן אקראי הסתיים הסיפור בשלום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 גם תרחיש אחר היה יכול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להתרחש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ניתן לראות כי עונש המאסר המושת על מבצעי עבירות כגון דא בעת האחרונה עומד לעתים גם על פי שניים ושלושה מעונש המאסר שנגזר בענייננו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 ותד</w:t>
      </w:r>
      <w:r>
        <w:rPr>
          <w:b/>
          <w:bCs/>
          <w:color w:val="000000"/>
          <w:rtl w:val="true"/>
        </w:rPr>
        <w:t xml:space="preserve">; </w:t>
      </w:r>
      <w:hyperlink r:id="rId5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5900/15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מעוז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b/>
          <w:bCs/>
          <w:rtl w:val="true"/>
        </w:rPr>
        <w:t>(</w:t>
      </w:r>
      <w:r>
        <w:rPr>
          <w:b/>
          <w:bCs/>
        </w:rPr>
        <w:t>10.5.2016</w:t>
      </w:r>
      <w:r>
        <w:rPr>
          <w:rtl w:val="true"/>
        </w:rPr>
        <w:t xml:space="preserve">))". </w:t>
      </w:r>
    </w:p>
    <w:p>
      <w:pPr>
        <w:pStyle w:val="Normal"/>
        <w:spacing w:lineRule="auto" w:line="360"/>
        <w:ind w:hanging="720" w:start="72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שהתבטאה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, </w:t>
      </w:r>
      <w:r>
        <w:rPr>
          <w:rtl w:val="true"/>
        </w:rPr>
        <w:t>וניסיונותיו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עונש נלווה של מאסר מותנה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Calibri" w:hAnsi="Calibri" w:eastAsia="Calibri" w:cs="Calibri"/>
          <w:u w:val="single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Calibri" w:hAnsi="Calibri" w:eastAsia="Calibri" w:cs="Calibri"/>
          <w:u w:val="single"/>
        </w:rPr>
      </w:pPr>
      <w:r>
        <w:rPr>
          <w:rFonts w:eastAsia="Calibri" w:cs="Calibri" w:ascii="Calibri" w:hAnsi="Calibri"/>
          <w:u w:val="single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37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בנסיבות שאינן קשורות בביצוע העבירות ראיתי להביא בחשבון את עברו הפלילי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למרבה הצער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הספיק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לצבור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עד כה ארבע הרשעות במספר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פחות משנתיים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בנוסף להרשעות מתחום התעבורה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דומה כי הדין אינו מטיל את מוראו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שלפי שעה ממאן לחזור לדרך המוטב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 כה הקלו בתי המשפט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ועד למעצרו בתיק זה הוא לא שהה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בשים לב לגילו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לקוות כי העונש בתיק דידן יגרום לו להישיר את דרכיו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ויהווה גורם מרתיע עבורו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שציין בעצמו בפני שירות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36093-03-14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שצוינה</w:t>
      </w:r>
      <w:r>
        <w:rPr>
          <w:rtl w:val="true"/>
        </w:rPr>
        <w:t xml:space="preserve">,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בשגגה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5877/13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‏</w:t>
      </w:r>
      <w:r>
        <w:rPr>
          <w:b/>
          <w:b/>
          <w:bCs/>
          <w:rtl w:val="true"/>
        </w:rPr>
        <w:t>בדארנה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גאלב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2.4.2015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בהקפדה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>, "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ברצינות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tl w:val="true"/>
        </w:rPr>
        <w:t xml:space="preserve">".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כשעבירת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שורבבה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36093-03-14</w:t>
        </w:r>
      </w:hyperlink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30.7.2017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1440" w:start="1440" w:end="0"/>
        <w:jc w:val="both"/>
        <w:rPr>
          <w:rFonts w:ascii="David" w:hAnsi="David" w:cs="David"/>
        </w:rPr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נשק מסוג פשע ויורשע בגינן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hanging="144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נשק מסוג עוון ויורשע בגינן או עבירה של הפרעה לשוטר במילוי תפקידו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6"/>
      <w:footerReference w:type="default" r:id="rId5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28615-08-17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פראס חמדוני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QuoteChar">
    <w:name w:val="Quote Char"/>
    <w:qFormat/>
    <w:rPr>
      <w:rFonts w:ascii="Calibri" w:hAnsi="Calibri" w:eastAsia="Calibri" w:cs="David"/>
      <w:i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">
    <w:name w:val="ציטוט1"/>
    <w:basedOn w:val="Normal"/>
    <w:next w:val="Normal"/>
    <w:qFormat/>
    <w:pPr>
      <w:spacing w:lineRule="auto" w:line="360"/>
      <w:ind w:hanging="0" w:start="1134" w:end="1134"/>
      <w:jc w:val="both"/>
    </w:pPr>
    <w:rPr>
      <w:rFonts w:ascii="Calibri" w:hAnsi="Calibri" w:eastAsia="Calibri" w:cs="Calibri"/>
      <w:i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144.a.;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case/13063540" TargetMode="External"/><Relationship Id="rId11" Type="http://schemas.openxmlformats.org/officeDocument/2006/relationships/hyperlink" Target="http://www.nevo.co.il/case/13063540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7958246" TargetMode="External"/><Relationship Id="rId14" Type="http://schemas.openxmlformats.org/officeDocument/2006/relationships/hyperlink" Target="http://www.nevo.co.il/case/20033641" TargetMode="External"/><Relationship Id="rId15" Type="http://schemas.openxmlformats.org/officeDocument/2006/relationships/hyperlink" Target="http://www.nevo.co.il/law/70301/40c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6151556" TargetMode="External"/><Relationship Id="rId18" Type="http://schemas.openxmlformats.org/officeDocument/2006/relationships/hyperlink" Target="http://www.nevo.co.il/case/5821327" TargetMode="External"/><Relationship Id="rId19" Type="http://schemas.openxmlformats.org/officeDocument/2006/relationships/hyperlink" Target="http://www.nevo.co.il/case/5821328" TargetMode="External"/><Relationship Id="rId20" Type="http://schemas.openxmlformats.org/officeDocument/2006/relationships/hyperlink" Target="http://www.nevo.co.il/case/5878682" TargetMode="External"/><Relationship Id="rId21" Type="http://schemas.openxmlformats.org/officeDocument/2006/relationships/hyperlink" Target="http://www.nevo.co.il/case/6950458" TargetMode="External"/><Relationship Id="rId22" Type="http://schemas.openxmlformats.org/officeDocument/2006/relationships/hyperlink" Target="http://www.nevo.co.il/case/5716796" TargetMode="External"/><Relationship Id="rId23" Type="http://schemas.openxmlformats.org/officeDocument/2006/relationships/hyperlink" Target="http://www.nevo.co.il/case/21472954" TargetMode="External"/><Relationship Id="rId24" Type="http://schemas.openxmlformats.org/officeDocument/2006/relationships/hyperlink" Target="http://www.nevo.co.il/case/20395125" TargetMode="External"/><Relationship Id="rId25" Type="http://schemas.openxmlformats.org/officeDocument/2006/relationships/hyperlink" Target="http://www.nevo.co.il/case/21771409" TargetMode="External"/><Relationship Id="rId26" Type="http://schemas.openxmlformats.org/officeDocument/2006/relationships/hyperlink" Target="http://www.nevo.co.il/case/7791493" TargetMode="External"/><Relationship Id="rId27" Type="http://schemas.openxmlformats.org/officeDocument/2006/relationships/hyperlink" Target="http://www.nevo.co.il/case/5821327" TargetMode="External"/><Relationship Id="rId28" Type="http://schemas.openxmlformats.org/officeDocument/2006/relationships/hyperlink" Target="http://www.nevo.co.il/case/5594385" TargetMode="External"/><Relationship Id="rId29" Type="http://schemas.openxmlformats.org/officeDocument/2006/relationships/hyperlink" Target="http://www.nevo.co.il/case/6473037" TargetMode="External"/><Relationship Id="rId30" Type="http://schemas.openxmlformats.org/officeDocument/2006/relationships/hyperlink" Target="http://www.nevo.co.il/case/20817891" TargetMode="External"/><Relationship Id="rId31" Type="http://schemas.openxmlformats.org/officeDocument/2006/relationships/hyperlink" Target="http://www.nevo.co.il/case/17954222" TargetMode="External"/><Relationship Id="rId32" Type="http://schemas.openxmlformats.org/officeDocument/2006/relationships/hyperlink" Target="http://www.nevo.co.il/case/6000182" TargetMode="External"/><Relationship Id="rId33" Type="http://schemas.openxmlformats.org/officeDocument/2006/relationships/hyperlink" Target="http://www.nevo.co.il/case/13093744" TargetMode="External"/><Relationship Id="rId34" Type="http://schemas.openxmlformats.org/officeDocument/2006/relationships/hyperlink" Target="http://www.nevo.co.il/case/6824952" TargetMode="External"/><Relationship Id="rId35" Type="http://schemas.openxmlformats.org/officeDocument/2006/relationships/hyperlink" Target="http://www.nevo.co.il/case/6473037" TargetMode="External"/><Relationship Id="rId36" Type="http://schemas.openxmlformats.org/officeDocument/2006/relationships/hyperlink" Target="http://www.nevo.co.il/case/22006503" TargetMode="External"/><Relationship Id="rId37" Type="http://schemas.openxmlformats.org/officeDocument/2006/relationships/hyperlink" Target="http://www.nevo.co.il/case/13090914" TargetMode="External"/><Relationship Id="rId38" Type="http://schemas.openxmlformats.org/officeDocument/2006/relationships/hyperlink" Target="http://www.nevo.co.il/case/6950458" TargetMode="External"/><Relationship Id="rId39" Type="http://schemas.openxmlformats.org/officeDocument/2006/relationships/hyperlink" Target="http://www.nevo.co.il/case/7791493" TargetMode="External"/><Relationship Id="rId40" Type="http://schemas.openxmlformats.org/officeDocument/2006/relationships/hyperlink" Target="http://www.nevo.co.il/case/6151556" TargetMode="External"/><Relationship Id="rId41" Type="http://schemas.openxmlformats.org/officeDocument/2006/relationships/hyperlink" Target="http://www.nevo.co.il/case/5762686" TargetMode="External"/><Relationship Id="rId42" Type="http://schemas.openxmlformats.org/officeDocument/2006/relationships/hyperlink" Target="http://www.nevo.co.il/case/17929065" TargetMode="External"/><Relationship Id="rId43" Type="http://schemas.openxmlformats.org/officeDocument/2006/relationships/hyperlink" Target="http://www.nevo.co.il/case/687125" TargetMode="External"/><Relationship Id="rId44" Type="http://schemas.openxmlformats.org/officeDocument/2006/relationships/hyperlink" Target="http://www.nevo.co.il/case/6000182" TargetMode="External"/><Relationship Id="rId45" Type="http://schemas.openxmlformats.org/officeDocument/2006/relationships/hyperlink" Target="http://www.nevo.co.il/case/6949290" TargetMode="External"/><Relationship Id="rId46" Type="http://schemas.openxmlformats.org/officeDocument/2006/relationships/hyperlink" Target="http://www.nevo.co.il/case/21566004" TargetMode="External"/><Relationship Id="rId47" Type="http://schemas.openxmlformats.org/officeDocument/2006/relationships/hyperlink" Target="http://www.nevo.co.il/case/5724364" TargetMode="External"/><Relationship Id="rId48" Type="http://schemas.openxmlformats.org/officeDocument/2006/relationships/hyperlink" Target="http://www.nevo.co.il/case/21857866" TargetMode="External"/><Relationship Id="rId49" Type="http://schemas.openxmlformats.org/officeDocument/2006/relationships/hyperlink" Target="http://www.nevo.co.il/case/21697402" TargetMode="External"/><Relationship Id="rId50" Type="http://schemas.openxmlformats.org/officeDocument/2006/relationships/hyperlink" Target="http://www.nevo.co.il/case/21946424" TargetMode="External"/><Relationship Id="rId51" Type="http://schemas.openxmlformats.org/officeDocument/2006/relationships/hyperlink" Target="http://www.nevo.co.il/case/21472954" TargetMode="External"/><Relationship Id="rId52" Type="http://schemas.openxmlformats.org/officeDocument/2006/relationships/hyperlink" Target="http://www.nevo.co.il/case/13063540" TargetMode="External"/><Relationship Id="rId53" Type="http://schemas.openxmlformats.org/officeDocument/2006/relationships/hyperlink" Target="http://www.nevo.co.il/case/7977559" TargetMode="External"/><Relationship Id="rId54" Type="http://schemas.openxmlformats.org/officeDocument/2006/relationships/hyperlink" Target="http://www.nevo.co.il/case/13063540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2018-09-26T08:53:00Z</dcterms:created>
  <dc:creator> </dc:creator>
  <dc:description/>
  <cp:keywords/>
  <dc:language>en-IL</dc:language>
  <cp:lastModifiedBy>run</cp:lastModifiedBy>
  <dcterms:modified xsi:type="dcterms:W3CDTF">2018-09-26T08:53:00Z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פראס חמדוני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13063540:4;7958246;20033641;6151556:2;5821327:2;5821328;5878682;6950458:2;5716796;21472954:2;20395125;21771409;7791493:2;5594385;6473037:2;20817891;17954222;6000182:2;13093744;6824952;22006503;13090914;5762686;17929065;687125;6949290;21566004;5724364</vt:lpwstr>
  </property>
  <property fmtid="{D5CDD505-2E9C-101B-9397-08002B2CF9AE}" pid="9" name="CASESLISTTMP2">
    <vt:lpwstr>21857866;21697402;21946424;7977559</vt:lpwstr>
  </property>
  <property fmtid="{D5CDD505-2E9C-101B-9397-08002B2CF9AE}" pid="10" name="CITY">
    <vt:lpwstr>חי'</vt:lpwstr>
  </property>
  <property fmtid="{D5CDD505-2E9C-101B-9397-08002B2CF9AE}" pid="11" name="DATE">
    <vt:lpwstr>20180423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אמיר טובי</vt:lpwstr>
  </property>
  <property fmtid="{D5CDD505-2E9C-101B-9397-08002B2CF9AE}" pid="15" name="LAWLISTTMP1">
    <vt:lpwstr>70301/144.a;144.b;275;040c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28615</vt:lpwstr>
  </property>
  <property fmtid="{D5CDD505-2E9C-101B-9397-08002B2CF9AE}" pid="23" name="NEWPARTB">
    <vt:lpwstr>08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390020180423</vt:lpwstr>
  </property>
  <property fmtid="{D5CDD505-2E9C-101B-9397-08002B2CF9AE}" pid="35" name="TYPE_N_DATE">
    <vt:lpwstr>39020180423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