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28624-07-24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כיוף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מריה פיקוס בוגדאנוב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עאטף כיוף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before="240" w:after="24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before="240" w:after="24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bookmarkStart w:id="7" w:name="PsakDin"/>
      <w:bookmarkStart w:id="8" w:name="ABSTRACT_START"/>
      <w:bookmarkEnd w:id="7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עבירה של החזקת נשק בניגוד </w:t>
      </w:r>
      <w:hyperlink r:id="rId8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ובעבירה של החזקת אביזרי נשק ותחמושת בניגוד </w:t>
      </w:r>
      <w:hyperlink r:id="rId10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bookmarkStart w:id="9" w:name="ABSTRACT_END"/>
      <w:bookmarkEnd w:id="9"/>
      <w:r>
        <w:rPr>
          <w:rFonts w:ascii="Arial" w:hAnsi="Arial" w:cs="Arial"/>
          <w:b/>
          <w:b/>
          <w:bCs/>
          <w:rtl w:val="true"/>
        </w:rPr>
        <w:t>תמצית עובדות כתב האישום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30.6.24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6:00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חיפוש שערכו שוטרים בביתו של הנאשם בעוספיה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בפינת ישיבה מתחת לכרית עליה לן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איתרו השוטרים אקדח מסוג </w:t>
      </w:r>
      <w:r>
        <w:rPr>
          <w:rFonts w:cs="Arial" w:ascii="Arial" w:hAnsi="Arial"/>
        </w:rPr>
        <w:t>Glock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פאראבלום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טעון במחסנית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המכילה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בחדר שינה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כי הנאשם החזיק במגירה בשידה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שקית ניילון אפורה שהכילה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הגישה צילום של האקדח והתחמושת מושא 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הגישה מכתב של שר לשעבר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איוב קרא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בדבר אופיו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הצדדים לעונש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בטיעוניה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כי הערכים החברתיים המוגנים אשר נפגעו מביצוע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הגנה על חיי אדם והגנה על שלום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גופו ובטחונו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פוטנציאל נזק אדיר 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נשק שמוחזק באופן לא חוקי מיועד לשימוש לא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לראות בחומרה את העובדה כי האקדח אותו החזיק הנאשם היה טעון במחסנית עם 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לפסקי דין רבים מהם ביקשה ללמוד על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יוער כבר כעת כי חלק גדול מהפסיקה אליה הפנתה המאשימה הוא בעבירות של נשיאת נשק ולא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בגין החזקת כלי נשק ארוכים ולא 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הנחיות פרקליט המדינה אליהן הפנתה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עושות הבחנה ברורה באשר למתחמים במקרים של אקדחים לעומת נשקים ארוכים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עתרה לקבוע כי מתחם העונש ההולם 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להעדר עבר פלילי לחובתו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המאשימה לגזור את עונשו של הנאשם בתחתית המתחם לו עתרה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מרתיע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טענה כי המתחם לו עתרה המאשימה אינו מגובה במדיניות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הפסיקה אליה הפנתה המאשימה אינה רלוונטית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לעובדה כי מדובר בנסיבות שונות מזה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חלק מהפסיקה מתייחסת לנשקים ארוכים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 דין נוסף מתייחס להחזקה של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 ופסיקה נוספת עניינה נשיאת נשק ולא החזקתו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הדגישה את הודאתו המיידית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האחריות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והבעת החרטה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כי מדובר בנאשם צעיר בגיל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השלים שירות מלא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והוא בן למשפחה נורמטיבית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למכתבו של השר לשעבר מר איוב קרא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כן 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להסתפק בעונש מאסר קצר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ascii="Arial" w:hAnsi="Arial" w:cs="Arial"/>
          <w:rtl w:val="true"/>
        </w:rPr>
        <w:t xml:space="preserve"> הביע חרטה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דיון והכרעה 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בית המשפט קובע את מתחם העונש ההולם בהתאם לעיקרון ההלימה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שביישומו על בית המשפט להתחשב בערך החברתי שנפגע מביצוע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במדיניות הענישה הנהוגה ובנסיבות הקשורות בביצוע העבירה </w:t>
      </w:r>
      <w:r>
        <w:rPr>
          <w:rFonts w:eastAsia="Calibri" w:cs="Calibri" w:ascii="Calibri" w:hAnsi="Calibri"/>
          <w:rtl w:val="true"/>
        </w:rPr>
        <w:t>(</w:t>
      </w:r>
      <w:hyperlink r:id="rId1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8641/12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מוחמד סעד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5.8.13</w:t>
      </w:r>
      <w:r>
        <w:rPr>
          <w:rFonts w:eastAsia="Calibri" w:cs="Calibri" w:ascii="Calibri" w:hAnsi="Calibri"/>
          <w:rtl w:val="true"/>
        </w:rPr>
        <w:t>)).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הערך החברתי המוגן</w:t>
      </w:r>
      <w:r>
        <w:rPr>
          <w:rFonts w:ascii="David" w:hAnsi="David"/>
          <w:rtl w:val="true"/>
        </w:rPr>
        <w:t xml:space="preserve"> שנפגע </w:t>
      </w:r>
      <w:r>
        <w:rPr>
          <w:rFonts w:ascii="David" w:hAnsi="David"/>
          <w:rtl w:val="true"/>
        </w:rPr>
        <w:t>מביצוע עבירות של 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</w:t>
      </w:r>
      <w:r>
        <w:rPr>
          <w:rFonts w:ascii="David" w:hAnsi="David"/>
          <w:rtl w:val="true"/>
        </w:rPr>
        <w:t>א ערך של הגנה על חיי אדם והגנה על תחושת הביטחון של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באשר לחומרה היתרה שיש לראות בביצוע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העליון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כרים 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מדיניות ברורה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85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המבוצעות בנשק – לרבות רכישה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לאחרונה תוקן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שקבע כי העונש שיושת על מבצע העבירה יתחיל מרבע 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החליט בית המשפט מטעמים מיוחדים להקל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לא יהיה כולו על תנאי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 העונשין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בפסיקה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 להוביל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זמינות 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 ואם לידיים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להגדלת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הנובעות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בשנים האחרונות אנו עדים לגל אלימות קשה תוך שימוש בנשק חם הגובה 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לעניין זה ראה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נח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545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85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 xml:space="preserve">המציאות השוררת בארץ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זמינותו של נשק חם ורב עוצמה שיש עמו פוטנציאל להסלמה באלימות העבריינית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 xml:space="preserve">"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באשר לנסיבות הקשורות בביצוע העבירות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rtl w:val="true"/>
        </w:rPr>
        <w:t>התכנון שקדם לביצוע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החזיק </w:t>
      </w:r>
      <w:r>
        <w:rPr>
          <w:rFonts w:ascii="David" w:hAnsi="David"/>
          <w:rtl w:val="true"/>
        </w:rPr>
        <w:t xml:space="preserve">אקדח </w:t>
      </w:r>
      <w:r>
        <w:rPr>
          <w:rFonts w:ascii="David" w:hAnsi="David"/>
          <w:rtl w:val="true"/>
        </w:rPr>
        <w:t>טעו</w:t>
      </w:r>
      <w:r>
        <w:rPr>
          <w:rFonts w:ascii="David" w:hAnsi="David"/>
          <w:rtl w:val="true"/>
        </w:rPr>
        <w:t xml:space="preserve">ן </w:t>
      </w:r>
      <w:r>
        <w:rPr>
          <w:rFonts w:ascii="David" w:hAnsi="David"/>
          <w:rtl w:val="true"/>
        </w:rPr>
        <w:t>במחסנית עם כדורים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מתחת לכרית בפינת ישיבה בביתו כשהנשק בהישג ידו באופן מיידי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ומכאן שמדובר בביצוע עבירה מתוכננת מראש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חלקו של הנאשם בביצוע העבירות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 של הנאשם בביצוע העבירות היה בלעדי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כאשר מיקום כלי הנשק </w:t>
      </w:r>
      <w:r>
        <w:rPr>
          <w:rFonts w:ascii="David" w:hAnsi="David"/>
          <w:color w:val="000000"/>
          <w:rtl w:val="true"/>
        </w:rPr>
        <w:t>מתחת לכרית עליה לן בעת החיפוש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כשהנשק טעון </w:t>
      </w:r>
      <w:r>
        <w:rPr>
          <w:rFonts w:ascii="David" w:hAnsi="David"/>
          <w:color w:val="000000"/>
          <w:rtl w:val="true"/>
        </w:rPr>
        <w:t>בכדורים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מלמד על הזמינות והמוכנות לעשות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שימוש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הנזק שעלול היה להיגרם מביצוע העבירות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החזיק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אקדח עם תחמושת תואמת</w:t>
      </w:r>
      <w:r>
        <w:rPr>
          <w:rFonts w:ascii="David" w:hAnsi="David"/>
          <w:rtl w:val="true"/>
        </w:rPr>
        <w:t xml:space="preserve"> ועוד תחמושת מסוג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 אם לא נגרם נזק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פוטנציאל הנזק הוא גדול אשר עלול ל</w:t>
      </w:r>
      <w:r>
        <w:rPr>
          <w:rFonts w:ascii="David" w:hAnsi="David"/>
          <w:rtl w:val="true"/>
        </w:rPr>
        <w:t>הביא לפגיעה בגוף ואף לקיפוח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מידת הפגיעה בערכים המוגנים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בשים לב לעובדה כי מדובר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הוחזק  טעו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ובהישג יד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והנזק הפוטנציאלי הגדול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קובעת כי מידת הפגיעה בערכים המוגנים היא </w:t>
      </w:r>
      <w:r>
        <w:rPr>
          <w:rFonts w:ascii="David" w:hAnsi="David"/>
          <w:rtl w:val="true"/>
        </w:rPr>
        <w:t>ממשית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באשר למדיניות הענישה הנהוגה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הפנו לפסיקה</w:t>
      </w:r>
      <w:r>
        <w:rPr>
          <w:rFonts w:ascii="David" w:hAnsi="David"/>
          <w:rtl w:val="true"/>
        </w:rPr>
        <w:t xml:space="preserve"> וביקשו ללמוד ממנה באשר למדיניות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שכבר ציינתי לעיל המאשימה הפנתה בנוסף לפסיקה הנוגעת להחזקת אקדחים גם לפסיקה של נשיאת כלי נשק וגם לפסיקה בה נדונו מקרים של החזקת נשק ארוך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אתייחס להלן רק לפסיקה הרלוונטית לענייננו</w:t>
      </w:r>
      <w:r>
        <w:rPr>
          <w:rFonts w:cs="David" w:ascii="David" w:hAnsi="David"/>
          <w:rtl w:val="true"/>
        </w:rPr>
        <w:t xml:space="preserve">. 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לציין כי בהדרגה ישנה החמרה בעונש המוטל בגין עבירות בנשק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תיהוואי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), </w:t>
      </w:r>
      <w:r>
        <w:rPr>
          <w:rtl w:val="true"/>
        </w:rPr>
        <w:t>אליו הפנתה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ואחר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עבירה של החזקת נשק בצוותא חדא לפי </w:t>
      </w:r>
      <w:hyperlink r:id="rId1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 וסיפא</w:t>
      </w:r>
      <w:r>
        <w:rPr>
          <w:rtl w:val="true"/>
        </w:rPr>
        <w:t xml:space="preserve">) </w:t>
      </w:r>
      <w:hyperlink r:id="rId17">
        <w:r>
          <w:rPr>
            <w:rStyle w:val="Hyperlink"/>
            <w:rtl w:val="true"/>
          </w:rPr>
          <w:t xml:space="preserve">וסעיף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 ו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tl w:val="true"/>
        </w:rPr>
        <w:t xml:space="preserve"> ברכב בו שהו אקדח מסוג </w:t>
      </w:r>
      <w:r>
        <w:rPr/>
        <w:t>S&amp;W</w:t>
      </w:r>
      <w:r>
        <w:rPr>
          <w:rtl w:val="true"/>
        </w:rPr>
        <w:t xml:space="preserve">, </w:t>
      </w:r>
      <w:r>
        <w:rPr>
          <w:rtl w:val="true"/>
        </w:rPr>
        <w:t xml:space="preserve">טעון במחסנית ובה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 xml:space="preserve">שהוטמנו תחת שטיח שהיה מונח לרגליו של </w:t>
      </w:r>
      <w:r>
        <w:rPr>
          <w:rtl w:val="true"/>
        </w:rPr>
        <w:t>האחר</w:t>
      </w:r>
      <w:r>
        <w:rPr>
          <w:rtl w:val="true"/>
        </w:rPr>
        <w:t xml:space="preserve"> והכל על רקע סכסוך משפחתי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נקבע </w:t>
      </w:r>
      <w:r>
        <w:rPr>
          <w:b/>
          <w:b/>
          <w:bCs/>
          <w:rtl w:val="true"/>
        </w:rPr>
        <w:t xml:space="preserve">כי </w:t>
      </w:r>
      <w:r>
        <w:rPr>
          <w:b/>
          <w:b/>
          <w:bCs/>
          <w:rtl w:val="true"/>
        </w:rPr>
        <w:t xml:space="preserve">מתחם העונש ההולם </w:t>
      </w:r>
      <w:r>
        <w:rPr>
          <w:b/>
          <w:b/>
          <w:bCs/>
          <w:rtl w:val="true"/>
        </w:rPr>
        <w:t>מתחיל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עד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</w:t>
      </w:r>
      <w:r>
        <w:rPr>
          <w:rtl w:val="true"/>
        </w:rPr>
        <w:t xml:space="preserve">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בעל עבר פלילי לא משמעותי </w:t>
      </w:r>
      <w:r>
        <w:rPr>
          <w:rtl w:val="true"/>
        </w:rPr>
        <w:t>הוטל</w:t>
      </w:r>
      <w:r>
        <w:rPr>
          <w:rtl w:val="true"/>
        </w:rPr>
        <w:t xml:space="preserve"> עונש של 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וענישה</w:t>
      </w:r>
      <w:r>
        <w:rPr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 שהגיש המערער לבית המשפט העליון נדחה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26.6.16</w:t>
      </w:r>
      <w:r>
        <w:rPr>
          <w:rtl w:val="true"/>
        </w:rPr>
        <w:t xml:space="preserve">), </w:t>
      </w:r>
      <w:r>
        <w:rPr>
          <w:rtl w:val="true"/>
        </w:rPr>
        <w:t>אליו הפנתה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המבקש הורשע בעבירה של החזקת נשק ותחמושת בלא רשות על פי דין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בית המשפט השלום קבע </w:t>
      </w:r>
      <w:r>
        <w:rPr>
          <w:b/>
          <w:b/>
          <w:bCs/>
          <w:rtl w:val="true"/>
        </w:rPr>
        <w:t xml:space="preserve"> כי מתחם העונש ההולם </w:t>
      </w:r>
      <w:r>
        <w:rPr>
          <w:b/>
          <w:b/>
          <w:bCs/>
          <w:rtl w:val="true"/>
        </w:rPr>
        <w:t>נע</w:t>
      </w:r>
      <w:r>
        <w:rPr>
          <w:b/>
          <w:b/>
          <w:bCs/>
          <w:rtl w:val="true"/>
        </w:rPr>
        <w:t xml:space="preserve"> בין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המבקש  </w:t>
      </w:r>
      <w:r>
        <w:rPr>
          <w:rtl w:val="true"/>
        </w:rPr>
        <w:t>נגזרו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לריצוי בדרך של עבודות שירות וענישה נלווית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לאחר ש</w:t>
      </w:r>
      <w:r>
        <w:rPr>
          <w:rtl w:val="true"/>
        </w:rPr>
        <w:t>בית</w:t>
      </w:r>
      <w:r>
        <w:rPr>
          <w:rtl w:val="true"/>
        </w:rPr>
        <w:t xml:space="preserve"> המשפט מצא לחרוג לקולה </w:t>
      </w:r>
      <w:r>
        <w:rPr>
          <w:rtl w:val="true"/>
        </w:rPr>
        <w:t>מהמתחם</w:t>
      </w:r>
      <w:r>
        <w:rPr>
          <w:rtl w:val="true"/>
        </w:rPr>
        <w:t xml:space="preserve"> עקב נסיבות אישיות של המבקש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המשיבה ערערה על ק</w:t>
      </w:r>
      <w:r>
        <w:rPr>
          <w:rtl w:val="true"/>
        </w:rPr>
        <w:t>ו</w:t>
      </w:r>
      <w:r>
        <w:rPr>
          <w:rtl w:val="true"/>
        </w:rPr>
        <w:t>לת העונש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קיבל את הערעור והעמיד את עונשו של המבקש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חלף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המאסר שהוטלו עליו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>יתר רכיבי גזר הדין שקבע בית משפט השלום נשארו בעינם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 רשות ערעור שהגיש המבקש לבית המשפט העליון נדחתה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7617-07-23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דינת ישראל</w:t>
      </w:r>
      <w:r>
        <w:rPr>
          <w:b/>
          <w:b/>
          <w:bCs/>
          <w:rtl w:val="true"/>
        </w:rPr>
        <w:t xml:space="preserve">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פאני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23.9.24</w:t>
      </w:r>
      <w:r>
        <w:rPr>
          <w:rtl w:val="true"/>
        </w:rPr>
        <w:t xml:space="preserve">), </w:t>
      </w:r>
      <w:r>
        <w:rPr>
          <w:rtl w:val="true"/>
        </w:rPr>
        <w:t>אליו הפנתה המאשימה</w:t>
      </w:r>
      <w:r>
        <w:rPr>
          <w:rtl w:val="true"/>
        </w:rPr>
        <w:t xml:space="preserve">, </w:t>
      </w:r>
      <w:r>
        <w:rPr>
          <w:rtl w:val="true"/>
        </w:rPr>
        <w:t>הנאשם הורשע בהחזקת נשק שלא כדין והחזקת חלק של נשק או תחמושת שלא כדי</w:t>
      </w:r>
      <w:r>
        <w:rPr>
          <w:rtl w:val="true"/>
        </w:rPr>
        <w:t>ן</w:t>
      </w:r>
      <w:r>
        <w:rPr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 xml:space="preserve"> </w:t>
      </w:r>
      <w:r>
        <w:rPr>
          <w:rtl w:val="true"/>
        </w:rPr>
        <w:t xml:space="preserve">הנאשם החזיק באקדח חצי אוטומטי </w:t>
      </w:r>
      <w:r>
        <w:rPr/>
        <w:t>D.D.G</w:t>
      </w:r>
      <w:r>
        <w:rPr>
          <w:rtl w:val="true"/>
        </w:rPr>
        <w:t xml:space="preserve">  </w:t>
      </w:r>
      <w:r>
        <w:rPr>
          <w:rtl w:val="true"/>
        </w:rPr>
        <w:t xml:space="preserve">מודל </w:t>
      </w:r>
      <w:r>
        <w:rPr>
          <w:rtl w:val="true"/>
        </w:rPr>
        <w:t xml:space="preserve"> </w:t>
      </w:r>
      <w:r>
        <w:rPr/>
        <w:t>C5</w:t>
      </w:r>
      <w:r>
        <w:rPr>
          <w:rtl w:val="true"/>
        </w:rPr>
        <w:t xml:space="preserve"> </w:t>
      </w:r>
      <w:r>
        <w:rPr>
          <w:rtl w:val="true"/>
        </w:rPr>
        <w:t>כשהוא טעון במחסנית מלאה תואמת וב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וכן מחסנית נוספת תואמת המכילה כדור תחמושת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אחד וזאת בלא רשות על פי 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/>
          <w:bCs/>
          <w:rtl w:val="true"/>
        </w:rPr>
        <w:t xml:space="preserve"> כי מתחם העונש ההולם בעניינו של הנאשם נע בין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63991-03-23</w:t>
      </w:r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חטיב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25.10.23</w:t>
      </w:r>
      <w:r>
        <w:rPr>
          <w:rtl w:val="true"/>
        </w:rPr>
        <w:t xml:space="preserve">), </w:t>
      </w:r>
      <w:r>
        <w:rPr>
          <w:rtl w:val="true"/>
        </w:rPr>
        <w:t>אליו הפנתה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הורשע בעבירה של החזקת נשק והחזקת חלק של נשק ותחמושת שלא כדין בניגוד לסעיף </w:t>
      </w:r>
      <w:hyperlink r:id="rId2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בעת חיפוש שנערך בבית הנאשם נמצא כי הוא מחזיק בסיועו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באקדח חצי אוטומטי </w:t>
      </w:r>
      <w:r>
        <w:rPr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 xml:space="preserve">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פאראבלום</w:t>
      </w:r>
      <w:r>
        <w:rPr>
          <w:rtl w:val="true"/>
        </w:rPr>
        <w:t xml:space="preserve">, </w:t>
      </w:r>
      <w:r>
        <w:rPr>
          <w:rtl w:val="true"/>
        </w:rPr>
        <w:t xml:space="preserve">כשהוא טעון במחסנית שהכילה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 תחמושת תואמים</w:t>
      </w:r>
      <w:r>
        <w:rPr>
          <w:rtl w:val="true"/>
        </w:rPr>
        <w:t xml:space="preserve">. </w:t>
      </w:r>
      <w:r>
        <w:rPr>
          <w:rtl w:val="true"/>
        </w:rPr>
        <w:t>האקדח הוסלק באחד מחדרי הבית בתוך מכשיר מיקרוגל כשהוא עטוף בגרב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הנאשם החזיק בסיועו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 גבי חלקו החיצוני של אדן החלון של מבנה הממוקם מתחת לביתו</w:t>
      </w:r>
      <w:r>
        <w:rPr>
          <w:rtl w:val="true"/>
        </w:rPr>
        <w:t xml:space="preserve">, </w:t>
      </w:r>
      <w:r>
        <w:rPr>
          <w:rtl w:val="true"/>
        </w:rPr>
        <w:t xml:space="preserve">במתקן לאחסון כדורי תחמושת ובתחמושת שכללה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בתפזורת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בית המשפט השלום קבע כי 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בעל עבר פלילי הוטל עונש של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ומאסר על תנאי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33262-02-22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חמאד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10.5.22</w:t>
      </w:r>
      <w:r>
        <w:rPr>
          <w:rtl w:val="true"/>
        </w:rPr>
        <w:t xml:space="preserve">), </w:t>
      </w:r>
      <w:r>
        <w:rPr>
          <w:rtl w:val="true"/>
        </w:rPr>
        <w:t>אליו הפנתה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הורשע בעבירות של החזקת חלק של נשק או תחמושת בניגוד </w:t>
      </w:r>
      <w:hyperlink r:id="rId24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ועבירה של החזקת נשק שלא כדין בניגוד </w:t>
      </w:r>
      <w:hyperlink r:id="rId26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 xml:space="preserve">הנאשם החזיק בביתו בארון המטבח בנשק מסוג אקדח חצי אוטומט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כשהוא טעון במחסנית ריקה ו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כדורי תחמושת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אשר הוסלקו בתוך גרביים שחורות עטופות בחולצה כחולה בארון המטבח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נקבע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בצירוף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על הנאשם 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>. (</w:t>
      </w:r>
      <w:r>
        <w:rPr>
          <w:rtl w:val="true"/>
        </w:rPr>
        <w:t xml:space="preserve">ערעור שהוגש לבית המשפט המחוזי נדחה במסגרת </w:t>
      </w: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37334-06-22</w:t>
        </w:r>
      </w:hyperlink>
      <w:r>
        <w:rPr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25700-08-22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אלבחירי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7.12.22</w:t>
      </w:r>
      <w:r>
        <w:rPr>
          <w:rtl w:val="true"/>
        </w:rPr>
        <w:t xml:space="preserve">), </w:t>
      </w:r>
      <w:r>
        <w:rPr>
          <w:rtl w:val="true"/>
        </w:rPr>
        <w:t>אליו הפנתה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על פי הודאתו בביצוע עבירות של החזקת נשק </w:t>
      </w:r>
      <w:r>
        <w:rPr>
          <w:rtl w:val="true"/>
        </w:rPr>
        <w:t>(</w:t>
      </w:r>
      <w:r>
        <w:rPr>
          <w:rtl w:val="true"/>
        </w:rPr>
        <w:t>אקדח חצי אוטומטי</w:t>
      </w:r>
      <w:r>
        <w:rPr>
          <w:rtl w:val="true"/>
        </w:rPr>
        <w:t xml:space="preserve">)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החזיק בביתו במזוודת מתכת שהונחה מעל ארון המטבח</w:t>
      </w:r>
      <w:r>
        <w:rPr>
          <w:rtl w:val="true"/>
        </w:rPr>
        <w:t xml:space="preserve">, </w:t>
      </w:r>
      <w:r>
        <w:rPr>
          <w:rtl w:val="true"/>
        </w:rPr>
        <w:t xml:space="preserve">באקדח חצי אוטומטי 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tl w:val="true"/>
        </w:rPr>
        <w:t xml:space="preserve"> מחסנית</w:t>
      </w:r>
      <w:r>
        <w:rPr>
          <w:rtl w:val="true"/>
        </w:rPr>
        <w:t xml:space="preserve">, </w:t>
      </w:r>
      <w:r>
        <w:rPr>
          <w:rtl w:val="true"/>
        </w:rPr>
        <w:t xml:space="preserve">במחסנית נוספת של אקדח ובחמש קופסאות תחמושת שהכילו </w:t>
      </w:r>
      <w:r>
        <w:rPr/>
        <w:t>213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b/>
          <w:b/>
          <w:bCs/>
          <w:rtl w:val="true"/>
        </w:rPr>
        <w:t xml:space="preserve"> כי מתחם העונש ההולם </w:t>
      </w:r>
      <w:r>
        <w:rPr>
          <w:b/>
          <w:b/>
          <w:bCs/>
          <w:rtl w:val="true"/>
        </w:rPr>
        <w:t>מתחיל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 xml:space="preserve">עד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בצירוף ענישה נלווית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נדון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וענישה נלווית</w:t>
      </w:r>
      <w:r>
        <w:rPr>
          <w:rtl w:val="true"/>
        </w:rPr>
        <w:t xml:space="preserve">. </w:t>
      </w:r>
      <w:r>
        <w:rPr>
          <w:rtl w:val="true"/>
        </w:rPr>
        <w:t>ערעור שהוגש לבית המשפט המחוזי על חומרת העונש נדחה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59298-02-24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קומימי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10.10.24</w:t>
      </w:r>
      <w:r>
        <w:rPr>
          <w:rtl w:val="true"/>
        </w:rPr>
        <w:t xml:space="preserve">) </w:t>
      </w:r>
      <w:r>
        <w:rPr>
          <w:rtl w:val="true"/>
        </w:rPr>
        <w:t>אליו הפנתה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הורשע 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החזקת נשק שלא כחוק</w:t>
      </w:r>
      <w:r>
        <w:rPr>
          <w:rtl w:val="true"/>
          <w:lang w:bidi="ar-SA"/>
        </w:rPr>
        <w:t>,</w:t>
      </w:r>
      <w:r>
        <w:rPr>
          <w:rFonts w:cs="Times New Roman"/>
          <w:rtl w:val="true"/>
          <w:lang w:bidi="ar-SA"/>
        </w:rPr>
        <w:t xml:space="preserve"> </w:t>
      </w:r>
      <w:r>
        <w:rPr>
          <w:rtl w:val="true"/>
        </w:rPr>
        <w:t xml:space="preserve">בניגוד </w:t>
      </w:r>
      <w:hyperlink r:id="rId30">
        <w:r>
          <w:rPr>
            <w:rStyle w:val="Hyperlink"/>
            <w:rtl w:val="true"/>
          </w:rPr>
          <w:t xml:space="preserve">לסעיף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תא</w:t>
      </w:r>
      <w:r>
        <w:rPr>
          <w:rtl w:val="true"/>
        </w:rPr>
        <w:t xml:space="preserve"> </w:t>
      </w:r>
      <w:r>
        <w:rPr>
          <w:rtl w:val="true"/>
        </w:rPr>
        <w:t>משענת</w:t>
      </w:r>
      <w:r>
        <w:rPr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באקדח מסוג גלוק </w:t>
      </w:r>
      <w:r>
        <w:rPr>
          <w:lang w:bidi="ar-SA"/>
        </w:rPr>
        <w:t>9</w:t>
      </w:r>
      <w:r>
        <w:rPr>
          <w:rFonts w:cs="Times New Roman"/>
          <w:rtl w:val="true"/>
          <w:lang w:bidi="ar-SA"/>
        </w:rPr>
        <w:t xml:space="preserve"> </w:t>
      </w:r>
      <w:r>
        <w:rPr>
          <w:rtl w:val="true"/>
        </w:rPr>
        <w:t>מ</w:t>
      </w:r>
      <w:r>
        <w:rPr>
          <w:rtl w:val="true"/>
          <w:lang w:bidi="ar-SA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 </w:t>
      </w:r>
      <w:r>
        <w:rPr>
          <w:rtl w:val="true"/>
        </w:rPr>
        <w:t xml:space="preserve">עם </w:t>
      </w:r>
      <w:r>
        <w:rPr>
          <w:lang w:bidi="ar-SA"/>
        </w:rPr>
        <w:t>17</w:t>
      </w:r>
      <w:r>
        <w:rPr>
          <w:rFonts w:cs="Times New Roman"/>
          <w:rtl w:val="true"/>
          <w:lang w:bidi="ar-SA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  <w:lang w:bidi="ar-SA"/>
        </w:rPr>
        <w:t>-</w:t>
      </w:r>
      <w:r>
        <w:rPr>
          <w:lang w:bidi="ar-SA"/>
        </w:rPr>
        <w:t>30</w:t>
      </w:r>
      <w:r>
        <w:rPr>
          <w:rFonts w:cs="Times New Roman"/>
          <w:rtl w:val="true"/>
          <w:lang w:bidi="ar-SA"/>
        </w:rPr>
        <w:t xml:space="preserve"> </w:t>
      </w:r>
      <w:r>
        <w:rPr>
          <w:rtl w:val="true"/>
        </w:rPr>
        <w:t>כדורים</w:t>
      </w:r>
      <w:r>
        <w:rPr>
          <w:rtl w:val="true"/>
          <w:lang w:bidi="ar-SA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כי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נע </w:t>
      </w:r>
      <w:r>
        <w:rPr>
          <w:b/>
          <w:b/>
          <w:bCs/>
          <w:rtl w:val="true"/>
        </w:rPr>
        <w:t>בין</w:t>
      </w:r>
      <w:r>
        <w:rPr>
          <w:rFonts w:eastAsia="David"/>
          <w:b/>
          <w:b/>
          <w:bCs/>
          <w:rtl w:val="true"/>
          <w:lang w:bidi="ar-SA"/>
        </w:rPr>
        <w:t xml:space="preserve"> </w:t>
      </w:r>
      <w:r>
        <w:rPr>
          <w:rFonts w:cs="Times New Roman"/>
          <w:b/>
          <w:bCs/>
          <w:lang w:bidi="ar-SA"/>
        </w:rPr>
        <w:t>10</w:t>
      </w:r>
      <w:r>
        <w:rPr>
          <w:rFonts w:cs="Times New Roman"/>
          <w:b/>
          <w:bCs/>
          <w:rtl w:val="true"/>
          <w:lang w:bidi="ar-SA"/>
        </w:rPr>
        <w:t xml:space="preserve"> </w:t>
      </w:r>
      <w:r>
        <w:rPr>
          <w:b/>
          <w:b/>
          <w:bCs/>
          <w:rtl w:val="true"/>
        </w:rPr>
        <w:t xml:space="preserve">לבין </w:t>
      </w:r>
      <w:r>
        <w:rPr>
          <w:rFonts w:cs="Times New Roman"/>
          <w:b/>
          <w:bCs/>
          <w:lang w:bidi="ar-SA"/>
        </w:rPr>
        <w:t>18</w:t>
      </w:r>
      <w:r>
        <w:rPr>
          <w:rFonts w:cs="Times New Roman"/>
          <w:b/>
          <w:bCs/>
          <w:rtl w:val="true"/>
          <w:lang w:bidi="ar-SA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 זאת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נלווים</w:t>
      </w:r>
      <w:r>
        <w:rPr>
          <w:rFonts w:cs="Times New Roman"/>
          <w:rtl w:val="true"/>
          <w:lang w:bidi="ar-SA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על הנאשם נגזרו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וענישה 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16521-01-22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1.10.24</w:t>
      </w:r>
      <w:r>
        <w:rPr>
          <w:rtl w:val="true"/>
        </w:rPr>
        <w:t xml:space="preserve">), </w:t>
      </w:r>
      <w:r>
        <w:rPr>
          <w:rtl w:val="true"/>
        </w:rPr>
        <w:t>אליו הפנתה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הנאשם הורשע בעבירת נשק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)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 xml:space="preserve">לסעיף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</w:t>
      </w:r>
      <w:hyperlink r:id="rId3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בסמטת</w:t>
      </w:r>
      <w:r>
        <w:rPr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הוא נושא עמו אקדח מסוג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בקוטר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כשהוא טעון במחסני</w:t>
      </w:r>
      <w:r>
        <w:rPr>
          <w:rtl w:val="true"/>
        </w:rPr>
        <w:t>ת</w:t>
      </w:r>
      <w:r>
        <w:rPr>
          <w:rtl w:val="true"/>
        </w:rPr>
        <w:t xml:space="preserve"> עם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 תחמושת תואמים לנשק מוחבא בתוך תיק בד צבעוני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 xml:space="preserve">תחם העונש ההולם את נע בין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לבין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>בית המשפט קבע כי</w:t>
      </w:r>
      <w:r>
        <w:rPr>
          <w:rtl w:val="true"/>
        </w:rPr>
        <w:t xml:space="preserve"> יש מקום לסטות מהמתחם שנקבע לקולא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 של 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הנאשם נגזרו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 וענישה נלווית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1806/22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נאברי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 </w:t>
      </w:r>
      <w:r>
        <w:rPr>
          <w:rtl w:val="true"/>
        </w:rPr>
        <w:t>(</w:t>
      </w:r>
      <w:r>
        <w:rPr/>
        <w:t>15.6.22</w:t>
      </w:r>
      <w:r>
        <w:rPr>
          <w:rtl w:val="true"/>
        </w:rPr>
        <w:t xml:space="preserve">) </w:t>
      </w:r>
      <w:r>
        <w:rPr>
          <w:rtl w:val="true"/>
        </w:rPr>
        <w:t xml:space="preserve">הנאשם הורשע בעבירות של החזקת נשק ותחמושת בניגוד </w:t>
      </w:r>
      <w:hyperlink r:id="rId36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3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לאחר שהחזיק ברכבו אקדח מסוג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 xml:space="preserve">טעון במחסנית ובה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 xml:space="preserve">ללא עבר פלילי הוטלו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ומאסר על תנאי</w:t>
      </w:r>
      <w:r>
        <w:rPr>
          <w:rtl w:val="true"/>
        </w:rPr>
        <w:t xml:space="preserve">. </w:t>
      </w:r>
      <w:r>
        <w:rPr>
          <w:rtl w:val="true"/>
        </w:rPr>
        <w:t>ערעור שהגיש המערער לבית המשפט העליון התקבל באופן חלקי כך שלאור נסיבות מיוחדות של הנאשם</w:t>
      </w:r>
      <w:r>
        <w:rPr>
          <w:rtl w:val="true"/>
        </w:rPr>
        <w:t xml:space="preserve">, </w:t>
      </w:r>
      <w:r>
        <w:rPr>
          <w:rtl w:val="true"/>
        </w:rPr>
        <w:t>העונש הופחת 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לרף התחתון של מתחם העונש ההולם שנקבע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>
          <w:lang w:eastAsia="he-IL"/>
        </w:rPr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64033-11-22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מיכאלוב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27.3.23</w:t>
      </w:r>
      <w:r>
        <w:rPr>
          <w:rtl w:val="true"/>
        </w:rPr>
        <w:t xml:space="preserve">), </w:t>
      </w:r>
      <w:r>
        <w:rPr>
          <w:rtl w:val="true"/>
        </w:rPr>
        <w:t>המשיב הורשע בביצוע  עבירה של  החזקת נשק שלא כדין</w:t>
      </w:r>
      <w:r>
        <w:rPr>
          <w:rtl w:val="true"/>
        </w:rPr>
        <w:t xml:space="preserve">, </w:t>
      </w:r>
      <w:r>
        <w:rPr>
          <w:rtl w:val="true"/>
        </w:rPr>
        <w:t>בניגוד לסעיף</w:t>
      </w:r>
      <w:r>
        <w:rPr>
          <w:rtl w:val="true"/>
        </w:rPr>
        <w:t xml:space="preserve"> </w:t>
      </w:r>
      <w:r>
        <w:rPr>
          <w:color w:val="000000"/>
          <w:rtl w:val="true"/>
        </w:rPr>
        <w:t xml:space="preserve">סעיף </w:t>
      </w:r>
      <w:hyperlink r:id="rId3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Fonts w:eastAsia="David"/>
          <w:rtl w:val="true"/>
        </w:rPr>
        <w:t xml:space="preserve"> </w:t>
      </w:r>
      <w:r>
        <w:rPr>
          <w:rtl w:val="true"/>
          <w:lang w:eastAsia="he-IL"/>
        </w:rPr>
        <w:t>ועבירה של החזקת סמים לצריכה עצמית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המשיב החזיק בביתו</w:t>
      </w:r>
      <w:r>
        <w:rPr>
          <w:rtl w:val="true"/>
          <w:lang w:eastAsia="he-IL"/>
        </w:rPr>
        <w:t xml:space="preserve"> אקדח בקוטר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 ובו כדור אחד בקנה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שני כדורים נוספים במחסנית בתוך האקדח וכן החזיק המשיב שני כדורים נוספים המתאימים לשימוש באקדח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עוד </w:t>
      </w:r>
      <w:r>
        <w:rPr>
          <w:rtl w:val="true"/>
          <w:lang w:eastAsia="he-IL"/>
        </w:rPr>
        <w:t>החזיק המשיב</w:t>
      </w:r>
      <w:r>
        <w:rPr>
          <w:rtl w:val="true"/>
          <w:lang w:eastAsia="he-IL"/>
        </w:rPr>
        <w:t xml:space="preserve"> בסם מסוכן מסוג קנאבוס במשקל של </w:t>
      </w:r>
      <w:r>
        <w:rPr>
          <w:lang w:eastAsia="he-IL"/>
        </w:rPr>
        <w:t>47.62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 נטו לצריכה עצמית ללא היתר או רישיון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 xml:space="preserve">בית המשפט קבע כי </w:t>
      </w:r>
      <w:r>
        <w:rPr>
          <w:b/>
          <w:b/>
          <w:bCs/>
          <w:rtl w:val="true"/>
          <w:lang w:eastAsia="he-IL"/>
        </w:rPr>
        <w:t>בגין עבירת הנשק מתחם עונש הולם הנע מ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lang w:eastAsia="he-IL"/>
        </w:rPr>
        <w:t>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 מאסר בפועל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בשל שיקולי שיקום סטה בית המשפט לקולא מהמתחם שנקבע וגזר על הנאשם </w:t>
      </w:r>
      <w:r>
        <w:rPr>
          <w:rtl w:val="true"/>
        </w:rPr>
        <w:t xml:space="preserve">מאסר בפועל לתקופה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חודשים לריצוי בעבודות שרות </w:t>
      </w:r>
      <w:r>
        <w:rPr>
          <w:rtl w:val="true"/>
        </w:rPr>
        <w:t>וענישה נלווית</w:t>
      </w:r>
      <w:r>
        <w:rPr>
          <w:rtl w:val="true"/>
        </w:rPr>
        <w:t xml:space="preserve">. </w:t>
      </w:r>
      <w:r>
        <w:rPr>
          <w:rtl w:val="true"/>
        </w:rPr>
        <w:t>המדינה הגעשה ערעור על קולת 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 התקבל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ועל הנאשם הוטל עונש של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 מאסר בפועל כאשר יתר רכיבי העונש למעט צו 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נותרו על כנם</w:t>
      </w:r>
      <w:r>
        <w:rPr>
          <w:rtl w:val="true"/>
          <w:lang w:eastAsia="he-IL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אבו אלקיעאן </w:t>
      </w:r>
      <w:r>
        <w:rPr>
          <w:b/>
          <w:b/>
          <w:bCs/>
          <w:rtl w:val="true"/>
        </w:rPr>
        <w:t xml:space="preserve">ני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15.9.20</w:t>
      </w:r>
      <w:r>
        <w:rPr>
          <w:rtl w:val="true"/>
        </w:rPr>
        <w:t xml:space="preserve">) </w:t>
      </w: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החזקת נשק ותחמושת שלא כדין בניגוד </w:t>
      </w:r>
      <w:hyperlink r:id="rId42">
        <w:r>
          <w:rPr>
            <w:rStyle w:val="Hyperlink"/>
            <w:rtl w:val="true"/>
          </w:rPr>
          <w:t xml:space="preserve">לסעיף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4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 נתפס מחזיק בנשק חם מסוג אקדח ברטה</w:t>
      </w:r>
      <w:r>
        <w:rPr>
          <w:rtl w:val="true"/>
        </w:rPr>
        <w:t xml:space="preserve">, </w:t>
      </w:r>
      <w:r>
        <w:rPr>
          <w:rtl w:val="true"/>
        </w:rPr>
        <w:t>חצי אוטומטי</w:t>
      </w:r>
      <w:r>
        <w:rPr>
          <w:rtl w:val="true"/>
        </w:rPr>
        <w:t xml:space="preserve">, </w:t>
      </w:r>
      <w:r>
        <w:rPr>
          <w:rtl w:val="true"/>
        </w:rPr>
        <w:t xml:space="preserve">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בצירוף מחסנית ובה כדורים</w:t>
      </w:r>
      <w:r>
        <w:rPr>
          <w:rtl w:val="true"/>
        </w:rPr>
        <w:t xml:space="preserve">. </w:t>
      </w:r>
      <w:r>
        <w:rPr>
          <w:rtl w:val="true"/>
        </w:rPr>
        <w:t>הנשק הוחזק מתחת לכיסא הנהג ברכב אותו החזיק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קבע כי </w:t>
      </w:r>
      <w:r>
        <w:rPr>
          <w:b/>
          <w:b/>
          <w:bCs/>
          <w:rtl w:val="true"/>
        </w:rPr>
        <w:t xml:space="preserve">מתחם העונש ההולם נע בין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ובין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</w:t>
      </w:r>
      <w:r>
        <w:rPr>
          <w:rtl w:val="true"/>
        </w:rPr>
        <w:t>והשית על המערער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</w:t>
      </w:r>
      <w:r>
        <w:rPr>
          <w:rtl w:val="true"/>
        </w:rPr>
        <w:t>קיבל ערעור על חומרת העונש והפחית את עונשו של המערער ל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לאור נסיבות אישיות משפחתיות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2141/21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איתן חניני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3.5.21</w:t>
      </w:r>
      <w:r>
        <w:rPr>
          <w:rtl w:val="true"/>
        </w:rPr>
        <w:t xml:space="preserve">) </w:t>
      </w: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בהחזקת נשק לפי </w:t>
      </w:r>
      <w:hyperlink r:id="rId45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ותחמושת לפי </w:t>
      </w:r>
      <w:hyperlink r:id="rId4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4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המערער הצטייד באקדח אוויר שבוצעו בו שינויים שמאפשרים ירי של תחמושת בקליבר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ובכדורים תואמים –ללא רישיון כדין</w:t>
      </w:r>
      <w:r>
        <w:rPr>
          <w:rtl w:val="true"/>
        </w:rPr>
        <w:t xml:space="preserve">. </w:t>
      </w:r>
      <w:r>
        <w:rPr>
          <w:rtl w:val="true"/>
        </w:rPr>
        <w:t>המערער נתפס בחצר קרובה לביתו</w:t>
      </w:r>
      <w:r>
        <w:rPr>
          <w:rtl w:val="true"/>
        </w:rPr>
        <w:t xml:space="preserve">, </w:t>
      </w:r>
      <w:r>
        <w:rPr>
          <w:rtl w:val="true"/>
        </w:rPr>
        <w:t>כשהוא נושא את האקדח על גופו ובתוכו ארבעה כדורים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</w:t>
      </w:r>
      <w:r>
        <w:rPr>
          <w:b/>
          <w:b/>
          <w:bCs/>
          <w:rtl w:val="true"/>
        </w:rPr>
        <w:t xml:space="preserve">מתחם העונש ההולם נע בין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וגזר על המערער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ערעור שהגיש המערער לבית המשפט העליון נדחה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567" w:start="567" w:end="0"/>
        <w:contextualSpacing/>
        <w:jc w:val="both"/>
        <w:rPr/>
      </w:pP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68620-02-20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שיאבנה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27.5.20</w:t>
      </w:r>
      <w:r>
        <w:rPr>
          <w:rtl w:val="true"/>
        </w:rPr>
        <w:t xml:space="preserve">) </w:t>
      </w:r>
      <w:r>
        <w:rPr>
          <w:rtl w:val="true"/>
        </w:rPr>
        <w:t>הנאשמים הורשעו על פי הודאתם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החזקת נשק ותחמושת בניגוד </w:t>
      </w:r>
      <w:hyperlink r:id="rId49">
        <w:r>
          <w:rPr>
            <w:rStyle w:val="Hyperlink"/>
            <w:rtl w:val="true"/>
          </w:rPr>
          <w:t>לסעיפים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</w:t>
      </w:r>
      <w:r>
        <w:rPr>
          <w:rtl w:val="true"/>
        </w:rPr>
        <w:t xml:space="preserve"> </w:t>
      </w:r>
      <w:hyperlink r:id="rId5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ועבירה של החזקת נשק ותחמושת בניגוד </w:t>
      </w:r>
      <w:hyperlink r:id="rId52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לחוק העונשין </w:t>
      </w:r>
      <w:r>
        <w:rPr>
          <w:rtl w:val="true"/>
        </w:rPr>
        <w:t>(</w:t>
      </w: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החזיק בחדר ילדים בביתו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אקדח פאראבלום</w:t>
      </w:r>
      <w:r>
        <w:rPr>
          <w:rtl w:val="true"/>
        </w:rPr>
        <w:t xml:space="preserve">, </w:t>
      </w:r>
      <w:r>
        <w:rPr>
          <w:rtl w:val="true"/>
        </w:rPr>
        <w:t>ושתי מחסניות מתאימות</w:t>
      </w:r>
      <w:r>
        <w:rPr>
          <w:rtl w:val="true"/>
        </w:rPr>
        <w:t xml:space="preserve">, </w:t>
      </w:r>
      <w:r>
        <w:rPr>
          <w:rtl w:val="true"/>
        </w:rPr>
        <w:t xml:space="preserve">שהכילו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כל אחת מהן</w:t>
      </w:r>
      <w:r>
        <w:rPr>
          <w:rtl w:val="true"/>
        </w:rPr>
        <w:t xml:space="preserve">, </w:t>
      </w:r>
      <w:r>
        <w:rPr>
          <w:rtl w:val="true"/>
        </w:rPr>
        <w:t>וזאת בלא רשות על פי דין להחזיקם</w:t>
      </w:r>
      <w:r>
        <w:rPr>
          <w:rtl w:val="true"/>
        </w:rPr>
        <w:t xml:space="preserve">. </w:t>
      </w:r>
      <w:r>
        <w:rPr>
          <w:rtl w:val="true"/>
        </w:rPr>
        <w:t>באותו מועד</w:t>
      </w:r>
      <w:r>
        <w:rPr>
          <w:rtl w:val="true"/>
        </w:rPr>
        <w:t xml:space="preserve">, </w:t>
      </w:r>
      <w:r>
        <w:rPr>
          <w:rtl w:val="true"/>
        </w:rPr>
        <w:t>החזיקו שני הנאשמים</w:t>
      </w:r>
      <w:r>
        <w:rPr>
          <w:rtl w:val="true"/>
        </w:rPr>
        <w:t xml:space="preserve">, </w:t>
      </w:r>
      <w:r>
        <w:rPr>
          <w:rtl w:val="true"/>
        </w:rPr>
        <w:t>בצוותא חדא</w:t>
      </w:r>
      <w:r>
        <w:rPr>
          <w:rtl w:val="true"/>
        </w:rPr>
        <w:t xml:space="preserve">, </w:t>
      </w:r>
      <w:r>
        <w:rPr>
          <w:rtl w:val="true"/>
        </w:rPr>
        <w:t xml:space="preserve">בבית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במגירה התחתונה</w:t>
      </w:r>
      <w:r>
        <w:rPr>
          <w:rtl w:val="true"/>
        </w:rPr>
        <w:t xml:space="preserve">, </w:t>
      </w:r>
      <w:r>
        <w:rPr>
          <w:rtl w:val="true"/>
        </w:rPr>
        <w:t>באחד מארונות המטבח</w:t>
      </w:r>
      <w:r>
        <w:rPr>
          <w:rtl w:val="true"/>
        </w:rPr>
        <w:t xml:space="preserve">, </w:t>
      </w:r>
      <w:r>
        <w:rPr>
          <w:rtl w:val="true"/>
        </w:rPr>
        <w:t xml:space="preserve">אקדח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ושתי מחסניות מתאימות</w:t>
      </w:r>
      <w:r>
        <w:rPr>
          <w:rtl w:val="true"/>
        </w:rPr>
        <w:t xml:space="preserve">, </w:t>
      </w:r>
      <w:r>
        <w:rPr>
          <w:rtl w:val="true"/>
        </w:rPr>
        <w:t xml:space="preserve">אשר הכילו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וזאת בלא רשות על פי דין להחזקתם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קבע כי </w:t>
      </w:r>
      <w:r>
        <w:rPr>
          <w:b/>
          <w:b/>
          <w:bCs/>
          <w:rtl w:val="true"/>
        </w:rPr>
        <w:t xml:space="preserve">מתחם העונש ההולם לנאשם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נע בין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נע בין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הושתו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בעבודות שירות וענישה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הוטלו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ערעור שהוגש לבית המשפט המחוזי התקבל חלקית כך שבעניינו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הערעור נדחה ובעניינו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בוטל פסק הדין של בית משפט קמא</w:t>
      </w:r>
      <w:r>
        <w:rPr>
          <w:rtl w:val="true"/>
        </w:rPr>
        <w:t xml:space="preserve">, </w:t>
      </w:r>
      <w:r>
        <w:rPr>
          <w:rtl w:val="true"/>
        </w:rPr>
        <w:t>הוא הורשע בעבירה של סיוע להחזקת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והוטלו עליו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 וענישה 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color w:val="000000"/>
          <w:sz w:val="27"/>
          <w:szCs w:val="27"/>
        </w:rPr>
      </w:pPr>
      <w:r>
        <w:rPr>
          <w:rFonts w:ascii="David" w:hAnsi="David"/>
          <w:rtl w:val="true"/>
        </w:rPr>
        <w:t xml:space="preserve">לאחר ששקלתי את מכלול השיקולים המעוגנים </w:t>
      </w:r>
      <w:hyperlink r:id="rId5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קובעת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חריגה ממתחם העונש ההולם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Arial" w:hAnsi="Arial" w:cs="Arial"/>
          <w:rtl w:val="true"/>
        </w:rPr>
        <w:t>בעניינ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של הנאשם לא מצאתי נסיבות המצדיקות סטייה ממתחם העונש ההולם לא לחומרא ולא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הנסיבות שאינן קשורות בביצוע העבירות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Arial" w:hAnsi="Arial" w:cs="Arial"/>
          <w:rtl w:val="true"/>
        </w:rPr>
        <w:t xml:space="preserve">לקולא שקלתי את הודאתו </w:t>
      </w:r>
      <w:r>
        <w:rPr>
          <w:rFonts w:ascii="Arial" w:hAnsi="Arial" w:cs="Arial"/>
          <w:rtl w:val="true"/>
        </w:rPr>
        <w:t xml:space="preserve">המיידית </w:t>
      </w:r>
      <w:r>
        <w:rPr>
          <w:rFonts w:ascii="Arial" w:hAnsi="Arial" w:cs="Arial"/>
          <w:rtl w:val="true"/>
        </w:rPr>
        <w:t>של הנאשם בכתב האישום במסגרת הליך מוקד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האחריות על מעשיו והבעת 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לחובתו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עצור עד תום הליכים מזה תקופה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בן למשפחה נורמטיבית ושירת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שירות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שהדברים עולים ממכתב שהוגש בעניינו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לאחר ששקלתי את כלל השיקולים המפורטים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אני גוזרת על הנאשם </w:t>
      </w:r>
      <w:r>
        <w:rPr>
          <w:rFonts w:ascii="Arial" w:hAnsi="Arial" w:cs="Arial"/>
          <w:b/>
          <w:b/>
          <w:bCs/>
          <w:rtl w:val="true"/>
        </w:rPr>
        <w:t>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מעצרו בתאריך  </w:t>
      </w:r>
      <w:r>
        <w:rPr>
          <w:rFonts w:cs="Arial" w:ascii="Arial" w:hAnsi="Arial"/>
        </w:rPr>
        <w:t>30.6.24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כי הנאשם לא יעבור בתקופת התנאי אחת מהעבירות בהן הורשע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ויורשע בגינה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מאסר תחתיו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תוך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והגבייה</w:t>
      </w:r>
      <w:r>
        <w:rPr>
          <w:b/>
          <w:bCs/>
          <w:rtl w:val="true"/>
        </w:rPr>
        <w:t xml:space="preserve">,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הבאות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והגבייה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www.eca.gov.il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מהיום לבית המשפט המחוזי בחיפה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spacing w:before="240" w:after="24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spacing w:before="240" w:after="240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מריה פיקוס בוגדאנוב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28624-07-24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עאטף כיוף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92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>
      <w:rFonts w:ascii="David" w:hAnsi="David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5573417" TargetMode="External"/><Relationship Id="rId12" Type="http://schemas.openxmlformats.org/officeDocument/2006/relationships/hyperlink" Target="http://www.nevo.co.il/case/6834904" TargetMode="External"/><Relationship Id="rId13" Type="http://schemas.openxmlformats.org/officeDocument/2006/relationships/hyperlink" Target="http://www.nevo.co.il/law/70301/144.g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0531134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475135" TargetMode="External"/><Relationship Id="rId20" Type="http://schemas.openxmlformats.org/officeDocument/2006/relationships/hyperlink" Target="http://www.nevo.co.il/case/29805376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8317992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case/28699338" TargetMode="External"/><Relationship Id="rId28" Type="http://schemas.openxmlformats.org/officeDocument/2006/relationships/hyperlink" Target="http://www.nevo.co.il/case/28852952" TargetMode="External"/><Relationship Id="rId29" Type="http://schemas.openxmlformats.org/officeDocument/2006/relationships/hyperlink" Target="http://www.nevo.co.il/case/30472303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8231421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8400048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9174839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6986974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7502726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/144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6499616" TargetMode="External"/><Relationship Id="rId49" Type="http://schemas.openxmlformats.org/officeDocument/2006/relationships/hyperlink" Target="http://www.nevo.co.il/law/70301/144.a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law/70301/40c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2024-11-19T14:06:00Z</dcterms:created>
  <dc:creator> </dc:creator>
  <dc:description/>
  <cp:keywords/>
  <dc:language>en-IL</dc:language>
  <cp:lastModifiedBy>h1</cp:lastModifiedBy>
  <dcterms:modified xsi:type="dcterms:W3CDTF">2024-11-19T14:06:00Z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עאטף כיוף</vt:lpwstr>
  </property>
  <property fmtid="{D5CDD505-2E9C-101B-9397-08002B2CF9AE}" pid="4" name="CASENOTES1">
    <vt:lpwstr>ProcID=209&amp;PartA=63991&amp;PartB=03&amp;PartC=23</vt:lpwstr>
  </property>
  <property fmtid="{D5CDD505-2E9C-101B-9397-08002B2CF9AE}" pid="5" name="CASENOTES2">
    <vt:lpwstr>ProcID=133;209&amp;PartA=1332&amp;PartC=04</vt:lpwstr>
  </property>
  <property fmtid="{D5CDD505-2E9C-101B-9397-08002B2CF9AE}" pid="6" name="CASESLISTTMP1">
    <vt:lpwstr>5573417;6834904;20531134;21475135;29805376;28317992;28699338;28852952;30472303;28231421;28400048;29174839;26986974;27502726;26499616</vt:lpwstr>
  </property>
  <property fmtid="{D5CDD505-2E9C-101B-9397-08002B2CF9AE}" pid="7" name="CITY">
    <vt:lpwstr>חי'</vt:lpwstr>
  </property>
  <property fmtid="{D5CDD505-2E9C-101B-9397-08002B2CF9AE}" pid="8" name="DATE">
    <vt:lpwstr>20241117</vt:lpwstr>
  </property>
  <property fmtid="{D5CDD505-2E9C-101B-9397-08002B2CF9AE}" pid="9" name="ISABSTRACT">
    <vt:lpwstr>Y</vt:lpwstr>
  </property>
  <property fmtid="{D5CDD505-2E9C-101B-9397-08002B2CF9AE}" pid="10" name="JUDGE">
    <vt:lpwstr>מריה פיקוס בוגדאנוב</vt:lpwstr>
  </property>
  <property fmtid="{D5CDD505-2E9C-101B-9397-08002B2CF9AE}" pid="11" name="LAWLISTTMP1">
    <vt:lpwstr>70301/144.a:14;144.g;029:2;144.b;040c.a</vt:lpwstr>
  </property>
  <property fmtid="{D5CDD505-2E9C-101B-9397-08002B2CF9AE}" pid="12" name="NEWPARTA">
    <vt:lpwstr>28624</vt:lpwstr>
  </property>
  <property fmtid="{D5CDD505-2E9C-101B-9397-08002B2CF9AE}" pid="13" name="NEWPARTB">
    <vt:lpwstr>07</vt:lpwstr>
  </property>
  <property fmtid="{D5CDD505-2E9C-101B-9397-08002B2CF9AE}" pid="14" name="NEWPARTC">
    <vt:lpwstr>24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380020241117</vt:lpwstr>
  </property>
  <property fmtid="{D5CDD505-2E9C-101B-9397-08002B2CF9AE}" pid="19" name="TYPE_N_DATE">
    <vt:lpwstr>38020241117</vt:lpwstr>
  </property>
  <property fmtid="{D5CDD505-2E9C-101B-9397-08002B2CF9AE}" pid="20" name="WORDNUMPAGES">
    <vt:lpwstr>8</vt:lpwstr>
  </property>
</Properties>
</file>