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tabs>
                <w:tab w:val="left" w:pos="720" w:leader="none"/>
              </w:tabs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28659-02-14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מעאיטה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לומפ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פאדי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מעאיטה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11.2.14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שבעזריה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". </w:t>
      </w:r>
      <w:bookmarkStart w:id="7" w:name="ABSTRACT_END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בכליותיו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בבלוטת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tl w:val="true"/>
        </w:rPr>
        <w:t xml:space="preserve">.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b/>
          <w:bCs/>
          <w:u w:val="single"/>
        </w:rPr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בעזריה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והרשויות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.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שבגינן נדון הנאשם לעונש של 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Fonts w:ascii="David" w:hAnsi="David"/>
          <w:rtl w:val="true"/>
        </w:rPr>
        <w:t>קביעת מתחם העונש ההולם למעשה העבירה נעשית בהתאם לעקרון ההלימה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קביעת מתחם העונש ההולם יש להתחשב בערך החברתי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הנוהגת ובנסיבות הקשורות בביצוע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25.03.09</w:t>
      </w:r>
      <w:r>
        <w:rPr>
          <w:rtl w:val="true"/>
        </w:rPr>
        <w:t>):</w:t>
      </w:r>
    </w:p>
    <w:p>
      <w:pPr>
        <w:pStyle w:val="ListParagraph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'"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מדיניות הענישה הנוהגת </w:t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.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 העליון חזר וציין כי יש להחמיר בעבירות אלה ולהטיל בגינם עונשי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 למדיניות זו ניכרת מגמת החמרה בענישה בעבירות בנשק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6294/10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אמין אלקיעאן ואח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</w:t>
      </w:r>
      <w:r>
        <w:rPr>
          <w:rFonts w:cs="Calibri" w:ascii="Calibri" w:hAnsi="Calibri"/>
        </w:rPr>
        <w:t>13.02.11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רע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ascii="Calibri" w:hAnsi="Calibri" w:cs="Calibri"/>
          <w:b/>
          <w:b/>
          <w:bCs/>
          <w:rtl w:val="true"/>
        </w:rPr>
        <w:t>דואהרי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</w:t>
      </w:r>
      <w:r>
        <w:rPr>
          <w:rFonts w:cs="Calibri" w:ascii="Calibri" w:hAnsi="Calibri"/>
        </w:rPr>
        <w:t>25.4.12</w:t>
      </w:r>
      <w:r>
        <w:rPr>
          <w:rFonts w:cs="Calibri" w:ascii="Calibri" w:hAnsi="Calibri"/>
          <w:rtl w:val="true"/>
        </w:rPr>
        <w:t xml:space="preserve">),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3401/11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שלאעטה</w:t>
      </w:r>
      <w:r>
        <w:rPr>
          <w:rFonts w:ascii="Calibri" w:hAnsi="Calibri" w:cs="Calibri"/>
          <w:rtl w:val="true"/>
        </w:rPr>
        <w:t xml:space="preserve"> ואח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</w:t>
      </w:r>
      <w:r>
        <w:rPr>
          <w:rFonts w:cs="Calibri" w:ascii="Calibri" w:hAnsi="Calibri"/>
        </w:rPr>
        <w:t>10.1.12</w:t>
      </w:r>
      <w:r>
        <w:rPr>
          <w:rFonts w:cs="Calibri" w:ascii="Calibri" w:hAnsi="Calibri"/>
          <w:rtl w:val="true"/>
        </w:rPr>
        <w:t xml:space="preserve">),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כוויס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</w:t>
      </w:r>
      <w:r>
        <w:rPr>
          <w:rFonts w:cs="Calibri" w:ascii="Calibri" w:hAnsi="Calibri"/>
        </w:rPr>
        <w:t>25.6.13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יוער כי בפסקי דין אלה מדובר בהחזקת אקדח בעוד שבמקרה שבפני מדובר בהחזקת תת מקלע שהוא כלי נשק בעל פוטנציאל נזק רב יותר</w:t>
      </w:r>
      <w:r>
        <w:rPr>
          <w:rFonts w:cs="Calibri" w:ascii="Calibri" w:hAnsi="Calibri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במסגרת </w:t>
      </w:r>
      <w:r>
        <w:rPr>
          <w:rFonts w:ascii="David" w:hAnsi="David"/>
          <w:b/>
          <w:b/>
          <w:bCs/>
          <w:rtl w:val="true"/>
        </w:rPr>
        <w:t xml:space="preserve">הנסיבות הקשורות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14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 לתת את הדעת לשיקולים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ומטרת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200"/>
        <w:ind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הנשק במסגרת עבודתו בביטחון המסכל הפלסטיני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ראשית אציין כי האישור אותו הציג הנאשם לא עולה בקנה אחד עם סוג הנשק והחברה המייצרת נשק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נכתב כי הנאשם קיבל נשק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ברטה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קרי אקדח קטן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שהנאשם החזיק בפועל בתת מקלע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הנשק מתוקף עבודתו במנגנון שעצם החברות בו אסורה בוודאי שאינו יכול להוות נסיבה לקולא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200"/>
        <w:ind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בהתאם לתיקון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16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</w:hyperlink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סבורני כי </w:t>
      </w:r>
      <w:r>
        <w:rPr>
          <w:rFonts w:ascii="David" w:hAnsi="David"/>
          <w:b/>
          <w:b/>
          <w:bCs/>
          <w:rtl w:val="true"/>
        </w:rPr>
        <w:t xml:space="preserve">מתחם העונש ההולם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העונש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המתאים</w:t>
      </w:r>
      <w:r>
        <w:rPr>
          <w:rFonts w:cs="Times New Roman"/>
          <w:bCs/>
          <w:rtl w:val="true"/>
          <w:lang w:eastAsia="he-IL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שאינן קשורות בביצוע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17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במסגרת זו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tl w:val="true"/>
        </w:rPr>
        <w:t xml:space="preserve">;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>
          <w:sz w:val="12"/>
          <w:szCs w:val="12"/>
        </w:rPr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והחקירה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sz w:val="12"/>
          <w:szCs w:val="12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וראו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Cs/>
          <w:rtl w:val="true"/>
        </w:rPr>
        <w:t xml:space="preserve">,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5.12.2006</w:t>
      </w:r>
      <w:r>
        <w:rPr>
          <w:b/>
          <w:bCs/>
          <w:rtl w:val="true"/>
        </w:rPr>
        <w:t xml:space="preserve">); 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2839/05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17.11.2005</w:t>
      </w:r>
      <w:r>
        <w:rPr>
          <w:b/>
          <w:bCs/>
          <w:rtl w:val="true"/>
        </w:rPr>
        <w:t>)).</w:t>
      </w:r>
    </w:p>
    <w:p>
      <w:pPr>
        <w:pStyle w:val="ListParagraph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bCs/>
          <w:rtl w:val="true"/>
          <w:lang w:eastAsia="he-IL"/>
        </w:rPr>
        <w:t>סוגיית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הסטייה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מן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מהמתחם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קיימים שיקולים אשר מצדיקים סטייה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 או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שיקול ההגנה על שלום הציבור</w:t>
      </w:r>
      <w:r>
        <w:rPr>
          <w:rFonts w:ascii="David" w:hAnsi="David"/>
          <w:rtl w:val="true"/>
        </w:rPr>
        <w:t xml:space="preserve"> אינו מצדיק החמרה בעונשו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השיקול השיקומי</w:t>
      </w:r>
      <w:r>
        <w:rPr>
          <w:rFonts w:ascii="David" w:hAnsi="David"/>
          <w:rtl w:val="true"/>
        </w:rPr>
        <w:t xml:space="preserve"> אינו מצדיק הקלה בעונשו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785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משוקם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שהשתקם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6443/12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ליצקי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09.09.12</w:t>
      </w:r>
      <w:r>
        <w:rPr>
          <w:rtl w:val="true"/>
        </w:rPr>
        <w:t>), "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tl w:val="true"/>
        </w:rPr>
        <w:t xml:space="preserve">."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30.4.13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>),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במלואה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Fonts w:ascii="David" w:hAnsi="David"/>
          <w:rtl w:val="true"/>
        </w:rPr>
        <w:t>לאור כל האמור לעיל החלטתי להטיל על הנאשם את העונשים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ListParagraph"/>
        <w:numPr>
          <w:ilvl w:val="1"/>
          <w:numId w:val="4"/>
        </w:numPr>
        <w:spacing w:lineRule="auto" w:line="360"/>
        <w:ind w:hanging="360" w:start="198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11.2.14-6.3.14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9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spacing w:lineRule="auto" w:line="360"/>
        <w:ind w:hanging="360" w:start="1980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bookmarkStart w:id="8" w:name="_GoBack"/>
      <w:bookmarkEnd w:id="8"/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המחוזי בירושלים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Header"/>
        <w:ind w:end="0"/>
        <w:jc w:val="center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028 Extrabold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cs="David" w:ascii="David" w:hAnsi="David"/>
        <w:color w:val="000000"/>
        <w:sz w:val="22"/>
        <w:szCs w:val="22"/>
        <w:rtl w:val="true"/>
      </w:rPr>
    </w:r>
  </w:p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cs="David" w:ascii="David" w:hAnsi="David"/>
        <w:color w:val="000000"/>
        <w:sz w:val="22"/>
        <w:szCs w:val="22"/>
        <w:rtl w:val="true"/>
      </w:rPr>
    </w:r>
  </w:p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28659-02-14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מעאיטה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dstrike w:val="false"/>
        <w:strike w:val="false"/>
        <w:sz w:val="24"/>
        <w:u w:val="none"/>
        <w:b/>
        <w:szCs w:val="24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>
        <w:u w:val="single"/>
        <w:b/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160" w:hanging="720"/>
      </w:pPr>
      <w:rPr>
        <w:u w:val="single"/>
        <w:b/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>
        <w:u w:val="single"/>
        <w:b/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240" w:hanging="1080"/>
      </w:pPr>
      <w:rPr>
        <w:u w:val="single"/>
        <w:b/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600" w:hanging="1080"/>
      </w:pPr>
      <w:rPr>
        <w:u w:val="single"/>
        <w:b/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320" w:hanging="1440"/>
      </w:pPr>
      <w:rPr>
        <w:u w:val="single"/>
        <w:b/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4680" w:hanging="1440"/>
      </w:pPr>
      <w:rPr>
        <w:u w:val="single"/>
        <w:b/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85" w:hanging="360"/>
      </w:pPr>
      <w:rPr>
        <w:sz w:val="24"/>
        <w:b w:val="false"/>
        <w:szCs w:val="24"/>
        <w:bCs w:val="false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</w:rPr>
  </w:style>
  <w:style w:type="character" w:styleId="WW8Num1z1">
    <w:name w:val="WW8Num1z1"/>
    <w:qFormat/>
    <w:rPr>
      <w:b/>
      <w:strike w:val="false"/>
      <w:dstrike w:val="false"/>
      <w:sz w:val="24"/>
      <w:szCs w:val="24"/>
      <w:u w:val="none"/>
    </w:rPr>
  </w:style>
  <w:style w:type="character" w:styleId="WW8Num1z2">
    <w:name w:val="WW8Num1z2"/>
    <w:qFormat/>
    <w:rPr>
      <w:rFonts w:cs="Times New Roman"/>
      <w:b/>
      <w:u w:val="single"/>
    </w:rPr>
  </w:style>
  <w:style w:type="character" w:styleId="WW8Num2z0">
    <w:name w:val="WW8Num2z0"/>
    <w:qFormat/>
    <w:rPr>
      <w:rFonts w:ascii="A028 Extrabold;Times New Roman" w:hAnsi="A028 Extrabold;Times New Roman" w:cs="David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040482" TargetMode="External"/><Relationship Id="rId11" Type="http://schemas.openxmlformats.org/officeDocument/2006/relationships/hyperlink" Target="http://www.nevo.co.il/case/6058757" TargetMode="External"/><Relationship Id="rId12" Type="http://schemas.openxmlformats.org/officeDocument/2006/relationships/hyperlink" Target="http://www.nevo.co.il/case/5893982" TargetMode="External"/><Relationship Id="rId13" Type="http://schemas.openxmlformats.org/officeDocument/2006/relationships/hyperlink" Target="http://www.nevo.co.il/case/5601503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case/5601503" TargetMode="External"/><Relationship Id="rId19" Type="http://schemas.openxmlformats.org/officeDocument/2006/relationships/hyperlink" Target="http://www.nevo.co.il/case/5852404" TargetMode="External"/><Relationship Id="rId20" Type="http://schemas.openxmlformats.org/officeDocument/2006/relationships/hyperlink" Target="http://www.nevo.co.il/case/6072945" TargetMode="External"/><Relationship Id="rId21" Type="http://schemas.openxmlformats.org/officeDocument/2006/relationships/hyperlink" Target="http://www.nevo.co.il/case/5859902" TargetMode="External"/><Relationship Id="rId22" Type="http://schemas.openxmlformats.org/officeDocument/2006/relationships/hyperlink" Target="http://www.nevo.co.il/law/70301/40d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594599" TargetMode="External"/><Relationship Id="rId25" Type="http://schemas.openxmlformats.org/officeDocument/2006/relationships/hyperlink" Target="http://www.nevo.co.il/case/6856471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2014-07-14T08:08:00Z</dcterms:created>
  <dc:creator> </dc:creator>
  <dc:description/>
  <cp:keywords/>
  <dc:language>en-IL</dc:language>
  <cp:lastModifiedBy>hofit</cp:lastModifiedBy>
  <dcterms:modified xsi:type="dcterms:W3CDTF">2014-07-14T08:08:00Z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מעאיטה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6040482;6058757;5893982;5601503:2;5852404;6072945;5859902;5594599;6856471</vt:lpwstr>
  </property>
  <property fmtid="{D5CDD505-2E9C-101B-9397-08002B2CF9AE}" pid="9" name="CITY">
    <vt:lpwstr>י-ם</vt:lpwstr>
  </property>
  <property fmtid="{D5CDD505-2E9C-101B-9397-08002B2CF9AE}" pid="10" name="DATE">
    <vt:lpwstr>20140708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70301/144.a;040i;40jc;40ja;040d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28659</vt:lpwstr>
  </property>
  <property fmtid="{D5CDD505-2E9C-101B-9397-08002B2CF9AE}" pid="22" name="NEWPARTB">
    <vt:lpwstr>02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380020140708</vt:lpwstr>
  </property>
  <property fmtid="{D5CDD505-2E9C-101B-9397-08002B2CF9AE}" pid="34" name="TYPE_N_DATE">
    <vt:lpwstr>38020140708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