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28675-02-12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טאהא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2012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LastJudge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עבד אלראוף טאהא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מטעם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שני וייל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מטעם 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הובא וע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י 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אחמד מסאלחה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12"/>
        <w:ind w:end="0"/>
        <w:jc w:val="center"/>
        <w:rPr>
          <w:rFonts w:ascii="Arial" w:hAnsi="Arial" w:eastAsia="David" w:cs="Arial"/>
          <w:sz w:val="28"/>
          <w:szCs w:val="28"/>
        </w:rPr>
      </w:pPr>
      <w:bookmarkStart w:id="3" w:name="PsakDin"/>
      <w:bookmarkEnd w:id="3"/>
      <w:r>
        <w:rPr>
          <w:rFonts w:ascii="Arial" w:hAnsi="Arial" w:eastAsia="David" w:cs="Arial"/>
          <w:sz w:val="28"/>
          <w:sz w:val="28"/>
          <w:szCs w:val="28"/>
          <w:rtl w:val="true"/>
        </w:rPr>
        <w:t>גזר דין</w:t>
      </w:r>
    </w:p>
    <w:p>
      <w:pPr>
        <w:pStyle w:val="12"/>
        <w:ind w:end="0"/>
        <w:jc w:val="both"/>
        <w:rPr>
          <w:rFonts w:ascii="David" w:hAnsi="David" w:eastAsia="David" w:cs="David"/>
          <w:b w:val="false"/>
          <w:bCs w:val="false"/>
          <w:sz w:val="28"/>
          <w:szCs w:val="28"/>
          <w:u w:val="none"/>
        </w:rPr>
      </w:pPr>
      <w:r>
        <w:rPr>
          <w:rFonts w:eastAsia="David" w:cs="David" w:ascii="David" w:hAnsi="David"/>
          <w:b w:val="false"/>
          <w:bCs w:val="false"/>
          <w:sz w:val="28"/>
          <w:szCs w:val="28"/>
          <w:u w:val="none"/>
          <w:rtl w:val="true"/>
        </w:rPr>
      </w:r>
      <w:bookmarkStart w:id="4" w:name="PsakDin"/>
      <w:bookmarkStart w:id="5" w:name="PsakDin"/>
      <w:bookmarkEnd w:id="5"/>
    </w:p>
    <w:p>
      <w:pPr>
        <w:pStyle w:val="12"/>
        <w:ind w:end="0"/>
        <w:jc w:val="both"/>
        <w:rPr>
          <w:rFonts w:ascii="David" w:hAnsi="David" w:cs="David"/>
          <w:b w:val="false"/>
          <w:bCs w:val="false"/>
          <w:u w:val="none"/>
        </w:rPr>
      </w:pPr>
      <w:r>
        <w:rPr>
          <w:rFonts w:cs="David" w:ascii="David" w:hAnsi="David"/>
          <w:b w:val="false"/>
          <w:bCs w:val="false"/>
          <w:u w:val="none"/>
          <w:rtl w:val="true"/>
        </w:rPr>
      </w:r>
    </w:p>
    <w:p>
      <w:pPr>
        <w:pStyle w:val="Style14"/>
        <w:numPr>
          <w:ilvl w:val="0"/>
          <w:numId w:val="1"/>
        </w:numPr>
        <w:ind w:hanging="360" w:start="720" w:end="0"/>
        <w:jc w:val="both"/>
        <w:rPr/>
      </w:pPr>
      <w:bookmarkStart w:id="6" w:name="ABSTRACT_START"/>
      <w:bookmarkEnd w:id="6"/>
      <w:r>
        <w:rPr>
          <w:rtl w:val="true"/>
        </w:rPr>
        <w:t>הנאשם שלפניי הורשע</w:t>
      </w:r>
      <w:r>
        <w:rPr>
          <w:rtl w:val="true"/>
        </w:rPr>
        <w:t xml:space="preserve">, </w:t>
      </w:r>
      <w:r>
        <w:rPr>
          <w:rtl w:val="true"/>
        </w:rPr>
        <w:t xml:space="preserve">על פי הודאתו בעובדות כתב האישום המתוקן מיום </w:t>
      </w:r>
      <w:r>
        <w:rPr/>
        <w:t>28.03.12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כתב האישום</w:t>
      </w:r>
      <w:r>
        <w:rPr>
          <w:rtl w:val="true"/>
        </w:rPr>
        <w:t xml:space="preserve">"), </w:t>
      </w:r>
      <w:r>
        <w:rPr>
          <w:rtl w:val="true"/>
        </w:rPr>
        <w:t xml:space="preserve">בביצוע </w:t>
      </w:r>
      <w:r>
        <w:rPr>
          <w:u w:val="single"/>
          <w:rtl w:val="true"/>
        </w:rPr>
        <w:t xml:space="preserve">עבירות בנשק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החזקה</w:t>
      </w:r>
      <w:r>
        <w:rPr>
          <w:u w:val="single"/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 xml:space="preserve">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>").</w:t>
      </w:r>
    </w:p>
    <w:p>
      <w:pPr>
        <w:pStyle w:val="Style14"/>
        <w:numPr>
          <w:ilvl w:val="0"/>
          <w:numId w:val="0"/>
        </w:numPr>
        <w:tabs>
          <w:tab w:val="left" w:pos="720" w:leader="none"/>
        </w:tabs>
        <w:ind w:hanging="0" w:start="360" w:end="0"/>
        <w:jc w:val="both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Style14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המפורט בכתב האישום</w:t>
      </w:r>
      <w:r>
        <w:rPr>
          <w:rtl w:val="true"/>
        </w:rPr>
        <w:t xml:space="preserve">, </w:t>
      </w:r>
      <w:r>
        <w:rPr>
          <w:rtl w:val="true"/>
        </w:rPr>
        <w:t>כשבועיים עובר להגשתו</w:t>
      </w:r>
      <w:r>
        <w:rPr>
          <w:rtl w:val="true"/>
        </w:rPr>
        <w:t xml:space="preserve">, </w:t>
      </w:r>
      <w:r>
        <w:rPr>
          <w:rtl w:val="true"/>
        </w:rPr>
        <w:t xml:space="preserve">רכש הנאשם מאדם שזהותו אינה ידועה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המוכר</w:t>
      </w:r>
      <w:r>
        <w:rPr>
          <w:rtl w:val="true"/>
        </w:rPr>
        <w:t xml:space="preserve">") </w:t>
      </w:r>
      <w:r>
        <w:rPr>
          <w:rtl w:val="true"/>
        </w:rPr>
        <w:t>חמישה רובים מאולתרים מסוג קרל גוסטב</w:t>
      </w:r>
      <w:r>
        <w:rPr>
          <w:rtl w:val="true"/>
        </w:rPr>
        <w:t xml:space="preserve">, </w:t>
      </w:r>
      <w:r>
        <w:rPr>
          <w:rtl w:val="true"/>
        </w:rPr>
        <w:t>חלקי רובה מסוג קרל גוסטב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קת של רובה</w:t>
      </w:r>
      <w:r>
        <w:rPr>
          <w:rtl w:val="true"/>
        </w:rPr>
        <w:t xml:space="preserve">, </w:t>
      </w:r>
      <w:r>
        <w:rPr>
          <w:rtl w:val="true"/>
        </w:rPr>
        <w:t xml:space="preserve">וכן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מחסניות ותחמושת הכוללת לא פחות מ</w:t>
      </w:r>
      <w:r>
        <w:rPr>
          <w:rtl w:val="true"/>
        </w:rPr>
        <w:t>-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 xml:space="preserve">תרמילים וכדורים חיים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כלי הנשק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התחמושת</w:t>
      </w:r>
      <w:r>
        <w:rPr>
          <w:rtl w:val="true"/>
        </w:rPr>
        <w:t>").</w:t>
      </w:r>
    </w:p>
    <w:p>
      <w:pPr>
        <w:pStyle w:val="Style14"/>
        <w:numPr>
          <w:ilvl w:val="0"/>
          <w:numId w:val="0"/>
        </w:numPr>
        <w:tabs>
          <w:tab w:val="left" w:pos="720" w:leader="none"/>
        </w:tabs>
        <w:ind w:hanging="0" w:start="36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 רכישת כלי הנשק ביצע הנאשם בנשקים ירי</w:t>
      </w:r>
      <w:r>
        <w:rPr>
          <w:rtl w:val="true"/>
        </w:rPr>
        <w:t xml:space="preserve">, </w:t>
      </w:r>
      <w:r>
        <w:rPr>
          <w:rtl w:val="true"/>
        </w:rPr>
        <w:t>על מנת לבחון את תפעולם</w:t>
      </w:r>
      <w:r>
        <w:rPr>
          <w:rtl w:val="true"/>
        </w:rPr>
        <w:t xml:space="preserve">. </w:t>
      </w:r>
      <w:r>
        <w:rPr>
          <w:rtl w:val="true"/>
        </w:rPr>
        <w:t xml:space="preserve">בהמשך </w:t>
      </w:r>
      <w:r>
        <w:rPr>
          <w:rtl w:val="true"/>
        </w:rPr>
        <w:tab/>
      </w:r>
      <w:r>
        <w:rPr>
          <w:rtl w:val="true"/>
        </w:rPr>
        <w:t>החזיק הנאשם את כלי הנשק והתחמושת במחסן ביתו בכפר כנא</w:t>
      </w:r>
      <w:r>
        <w:rPr>
          <w:rtl w:val="true"/>
        </w:rPr>
        <w:t xml:space="preserve">, </w:t>
      </w:r>
      <w:r>
        <w:rPr>
          <w:rtl w:val="true"/>
        </w:rPr>
        <w:t>וזאת עד למעצרו</w:t>
      </w:r>
      <w:r>
        <w:rPr>
          <w:rtl w:val="true"/>
        </w:rPr>
        <w:t>.</w:t>
      </w:r>
    </w:p>
    <w:p>
      <w:pPr>
        <w:pStyle w:val="Style14"/>
        <w:numPr>
          <w:ilvl w:val="0"/>
          <w:numId w:val="0"/>
        </w:numPr>
        <w:tabs>
          <w:tab w:val="left" w:pos="720" w:leader="none"/>
        </w:tabs>
        <w:ind w:hanging="0" w:start="360" w:end="0"/>
        <w:jc w:val="both"/>
        <w:rPr/>
      </w:pPr>
      <w:r>
        <w:rPr>
          <w:rtl w:val="true"/>
        </w:rPr>
        <w:tab/>
      </w:r>
      <w:r>
        <w:rPr>
          <w:rtl w:val="true"/>
        </w:rPr>
        <w:t>כל זאת עשה הנאשם ללא רשות על</w:t>
      </w:r>
      <w:r>
        <w:rPr>
          <w:rtl w:val="true"/>
        </w:rPr>
        <w:t>-</w:t>
      </w:r>
      <w:r>
        <w:rPr>
          <w:rtl w:val="true"/>
        </w:rPr>
        <w:t>פי דין להחזיק בכלי הנשק ובתחמושת</w:t>
      </w:r>
      <w:r>
        <w:rPr>
          <w:rtl w:val="true"/>
        </w:rPr>
        <w:t>.</w:t>
      </w:r>
    </w:p>
    <w:p>
      <w:pPr>
        <w:pStyle w:val="Style14"/>
        <w:numPr>
          <w:ilvl w:val="0"/>
          <w:numId w:val="0"/>
        </w:numPr>
        <w:tabs>
          <w:tab w:val="left" w:pos="720" w:leader="none"/>
        </w:tabs>
        <w:ind w:hanging="0" w:start="360" w:end="0"/>
        <w:jc w:val="both"/>
        <w:rPr/>
      </w:pPr>
      <w:r>
        <w:rPr>
          <w:rtl w:val="true"/>
        </w:rPr>
      </w:r>
    </w:p>
    <w:p>
      <w:pPr>
        <w:pStyle w:val="Style14"/>
        <w:numPr>
          <w:ilvl w:val="0"/>
          <w:numId w:val="0"/>
        </w:numPr>
        <w:tabs>
          <w:tab w:val="left" w:pos="720" w:leader="none"/>
        </w:tabs>
        <w:ind w:hanging="0"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 שירות המבחן</w:t>
      </w:r>
    </w:p>
    <w:p>
      <w:pPr>
        <w:pStyle w:val="Style14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 xml:space="preserve">קצין המבחן ציין כי הנאשם בן </w:t>
      </w:r>
      <w:r>
        <w:rPr/>
        <w:t>56</w:t>
      </w:r>
      <w:r>
        <w:rPr>
          <w:rtl w:val="true"/>
        </w:rPr>
        <w:t xml:space="preserve">, </w:t>
      </w:r>
      <w:r>
        <w:rPr>
          <w:rtl w:val="true"/>
        </w:rPr>
        <w:t>נשוי ואב 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ילדים בטווח הגילאים שבין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35</w:t>
      </w:r>
      <w:r>
        <w:rPr>
          <w:rtl w:val="true"/>
        </w:rPr>
        <w:t xml:space="preserve">. </w:t>
      </w:r>
      <w:r>
        <w:rPr>
          <w:rtl w:val="true"/>
        </w:rPr>
        <w:t>בשנים האחרונות הוא אינו עובד ומתקיים מקצבת הבטחת הכנסה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>
          <w:rtl w:val="true"/>
        </w:rPr>
        <w:t>"</w:t>
      </w:r>
      <w:r>
        <w:rPr>
          <w:rtl w:val="true"/>
        </w:rPr>
        <w:t>נשר</w:t>
      </w:r>
      <w:r>
        <w:rPr>
          <w:rtl w:val="true"/>
        </w:rPr>
        <w:t xml:space="preserve">" </w:t>
      </w:r>
      <w:r>
        <w:rPr>
          <w:rtl w:val="true"/>
        </w:rPr>
        <w:t xml:space="preserve">ממסגרת החינוך לאחר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 לימוד</w:t>
      </w:r>
      <w:r>
        <w:rPr>
          <w:rtl w:val="true"/>
        </w:rPr>
        <w:t xml:space="preserve">, </w:t>
      </w:r>
      <w:r>
        <w:rPr>
          <w:rtl w:val="true"/>
        </w:rPr>
        <w:t>מתוך העדפה להשתלב בשוק העבודה</w:t>
      </w:r>
      <w:r>
        <w:rPr>
          <w:rtl w:val="true"/>
        </w:rPr>
        <w:t xml:space="preserve">, </w:t>
      </w:r>
      <w:r>
        <w:rPr>
          <w:rtl w:val="true"/>
        </w:rPr>
        <w:t>ובמשך שנים רבות עבד כקונדיטור</w:t>
      </w:r>
      <w:r>
        <w:rPr>
          <w:rtl w:val="true"/>
        </w:rPr>
        <w:t xml:space="preserve">, </w:t>
      </w:r>
      <w:r>
        <w:rPr>
          <w:rtl w:val="true"/>
        </w:rPr>
        <w:t xml:space="preserve">עד לשנת </w:t>
      </w:r>
      <w:r>
        <w:rPr/>
        <w:t>2000</w:t>
      </w:r>
      <w:r>
        <w:rPr>
          <w:rtl w:val="true"/>
        </w:rPr>
        <w:t>.</w:t>
      </w:r>
    </w:p>
    <w:p>
      <w:pPr>
        <w:pStyle w:val="Style14"/>
        <w:numPr>
          <w:ilvl w:val="0"/>
          <w:numId w:val="0"/>
        </w:numPr>
        <w:tabs>
          <w:tab w:val="left" w:pos="720" w:leader="none"/>
        </w:tabs>
        <w:ind w:hanging="0" w:start="360" w:end="0"/>
        <w:jc w:val="both"/>
        <w:rPr/>
      </w:pPr>
      <w:r>
        <w:rPr>
          <w:rtl w:val="true"/>
        </w:rPr>
        <w:tab/>
      </w:r>
      <w:r>
        <w:rPr>
          <w:rtl w:val="true"/>
        </w:rPr>
        <w:t>קצין המבחן התרשם ממצוקה רגשית ממנה סובל הנאשם</w:t>
      </w:r>
      <w:r>
        <w:rPr>
          <w:rtl w:val="true"/>
        </w:rPr>
        <w:t xml:space="preserve">, </w:t>
      </w:r>
      <w:r>
        <w:rPr>
          <w:rtl w:val="true"/>
        </w:rPr>
        <w:t>עקב שהייתו במעצר</w:t>
      </w:r>
      <w:r>
        <w:rPr>
          <w:rtl w:val="true"/>
        </w:rPr>
        <w:t xml:space="preserve">. </w:t>
      </w:r>
      <w:r>
        <w:rPr>
          <w:rtl w:val="true"/>
        </w:rPr>
        <w:t xml:space="preserve">באשר </w:t>
      </w:r>
      <w:r>
        <w:rPr>
          <w:rtl w:val="true"/>
        </w:rPr>
        <w:tab/>
      </w:r>
      <w:r>
        <w:rPr>
          <w:rtl w:val="true"/>
        </w:rPr>
        <w:t>לביצוע העבירות</w:t>
      </w:r>
      <w:r>
        <w:rPr>
          <w:rtl w:val="true"/>
        </w:rPr>
        <w:t xml:space="preserve">, </w:t>
      </w:r>
      <w:r>
        <w:rPr>
          <w:rtl w:val="true"/>
        </w:rPr>
        <w:t>ציין כי הנאשם קיבל אחריות לביצוען תוך ביטוי של תחושת חרטה</w:t>
      </w:r>
      <w:r>
        <w:rPr>
          <w:rtl w:val="true"/>
        </w:rPr>
        <w:t xml:space="preserve">, </w:t>
      </w:r>
      <w:r>
        <w:rPr>
          <w:rtl w:val="true"/>
        </w:rPr>
        <w:t xml:space="preserve">אולם </w:t>
      </w:r>
      <w:r>
        <w:rPr>
          <w:rtl w:val="true"/>
        </w:rPr>
        <w:tab/>
      </w:r>
      <w:r>
        <w:rPr>
          <w:rtl w:val="true"/>
        </w:rPr>
        <w:t>התקשה להסביר את מניעיו</w:t>
      </w:r>
      <w:r>
        <w:rPr>
          <w:rtl w:val="true"/>
        </w:rPr>
        <w:t xml:space="preserve">, </w:t>
      </w:r>
      <w:r>
        <w:rPr>
          <w:rtl w:val="true"/>
        </w:rPr>
        <w:t>ורק סיפר כי הוצע לו לרכוש את כלי הנשק ושהסכים לכך</w:t>
      </w:r>
      <w:r>
        <w:rPr>
          <w:rtl w:val="true"/>
        </w:rPr>
        <w:t xml:space="preserve">. </w:t>
        <w:tab/>
      </w:r>
      <w:r>
        <w:rPr>
          <w:rtl w:val="true"/>
        </w:rPr>
        <w:t xml:space="preserve">הנאשם ציין בפני קצין המבחן כי מעורבותו בביצוע העבירות חורגת מאורחות חייו ואינה </w:t>
      </w:r>
      <w:r>
        <w:rPr>
          <w:rtl w:val="true"/>
        </w:rPr>
        <w:tab/>
      </w:r>
      <w:r>
        <w:rPr>
          <w:rtl w:val="true"/>
        </w:rPr>
        <w:t>מאפיינת אותו</w:t>
      </w:r>
      <w:r>
        <w:rPr>
          <w:rtl w:val="true"/>
        </w:rPr>
        <w:t xml:space="preserve">. </w:t>
      </w:r>
      <w:r>
        <w:rPr>
          <w:rtl w:val="true"/>
        </w:rPr>
        <w:t>מאחר והנאשם שלל צורך במעורבות טיפולית</w:t>
      </w:r>
      <w:r>
        <w:rPr>
          <w:rtl w:val="true"/>
        </w:rPr>
        <w:t xml:space="preserve">, </w:t>
      </w:r>
      <w:r>
        <w:rPr>
          <w:rtl w:val="true"/>
        </w:rPr>
        <w:t xml:space="preserve">נמנע קצין המבחן ממתן </w:t>
      </w:r>
      <w:r>
        <w:rPr>
          <w:rtl w:val="true"/>
        </w:rPr>
        <w:tab/>
      </w:r>
      <w:r>
        <w:rPr>
          <w:rtl w:val="true"/>
        </w:rPr>
        <w:t>המלצה טיפולית בעניינו</w:t>
      </w:r>
      <w:r>
        <w:rPr>
          <w:rtl w:val="true"/>
        </w:rPr>
        <w:t>.</w:t>
      </w:r>
    </w:p>
    <w:p>
      <w:pPr>
        <w:pStyle w:val="Style14"/>
        <w:numPr>
          <w:ilvl w:val="0"/>
          <w:numId w:val="0"/>
        </w:numPr>
        <w:tabs>
          <w:tab w:val="left" w:pos="720" w:leader="none"/>
        </w:tabs>
        <w:ind w:hanging="0" w:start="360" w:end="0"/>
        <w:jc w:val="both"/>
        <w:rPr/>
      </w:pPr>
      <w:r>
        <w:rPr>
          <w:rtl w:val="true"/>
        </w:rPr>
      </w:r>
    </w:p>
    <w:p>
      <w:pPr>
        <w:pStyle w:val="Style14"/>
        <w:numPr>
          <w:ilvl w:val="0"/>
          <w:numId w:val="0"/>
        </w:numPr>
        <w:tabs>
          <w:tab w:val="left" w:pos="720" w:leader="none"/>
        </w:tabs>
        <w:ind w:hanging="0"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הצדדים</w:t>
      </w:r>
    </w:p>
    <w:p>
      <w:pPr>
        <w:pStyle w:val="Style14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 xml:space="preserve">המאשימה בטיעוניה הצביעה על כך שלצד העבירה בה הורשע הנאשם קבע המחוקק עונש של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כשבמקרה דנן אין מדובר בנשק אחד כי אם בכמות נכבדה של כלי נשק</w:t>
      </w:r>
      <w:r>
        <w:rPr>
          <w:rtl w:val="true"/>
        </w:rPr>
        <w:t xml:space="preserve">, </w:t>
      </w:r>
      <w:r>
        <w:rPr>
          <w:rtl w:val="true"/>
        </w:rPr>
        <w:t>אביזרי נשק ותחמושת רבה</w:t>
      </w:r>
      <w:r>
        <w:rPr>
          <w:rtl w:val="true"/>
        </w:rPr>
        <w:t xml:space="preserve">. </w:t>
      </w:r>
      <w:r>
        <w:rPr>
          <w:rtl w:val="true"/>
        </w:rPr>
        <w:t>המאשימה הפנתה לפסיקת בית המשפט העליון וליחס המחמיר אשר הובע שם כלפי מבצעי עבירות נשק</w:t>
      </w:r>
      <w:r>
        <w:rPr>
          <w:rtl w:val="true"/>
        </w:rPr>
        <w:t xml:space="preserve">, </w:t>
      </w:r>
      <w:r>
        <w:rPr>
          <w:rtl w:val="true"/>
        </w:rPr>
        <w:t>וציינה את הצורך בהעברת מסר מרתיע</w:t>
      </w:r>
      <w:r>
        <w:rPr>
          <w:rtl w:val="true"/>
        </w:rPr>
        <w:t xml:space="preserve">, </w:t>
      </w:r>
      <w:r>
        <w:rPr>
          <w:rtl w:val="true"/>
        </w:rPr>
        <w:t>הן בשל ההיקף המתרחב של התופעה והן בשל החומרה הכרוכה במעשים והסיכון הטמון בהם</w:t>
      </w:r>
      <w:r>
        <w:rPr>
          <w:rtl w:val="true"/>
        </w:rPr>
        <w:t>.</w:t>
        <w:br/>
      </w:r>
      <w:r>
        <w:rPr>
          <w:rtl w:val="true"/>
        </w:rPr>
        <w:t>לגבי הנאשם ציינה</w:t>
      </w:r>
      <w:r>
        <w:rPr>
          <w:rtl w:val="true"/>
        </w:rPr>
        <w:t xml:space="preserve">, </w:t>
      </w:r>
      <w:r>
        <w:rPr>
          <w:rtl w:val="true"/>
        </w:rPr>
        <w:t>כי אמנם נטל אחריות על המעשים אולם התקשה להסביר את מניעיו</w:t>
      </w:r>
      <w:r>
        <w:rPr>
          <w:rtl w:val="true"/>
        </w:rPr>
        <w:t xml:space="preserve">, </w:t>
      </w:r>
      <w:r>
        <w:rPr>
          <w:rtl w:val="true"/>
        </w:rPr>
        <w:t>ושלל באוזני קצין המבחן צורך במעורבות טיפולית</w:t>
      </w:r>
      <w:r>
        <w:rPr>
          <w:rtl w:val="true"/>
        </w:rPr>
        <w:t xml:space="preserve">. </w:t>
      </w:r>
      <w:r>
        <w:rPr>
          <w:rtl w:val="true"/>
        </w:rPr>
        <w:t>לפיכך מבקשת המאשימה להטיל על הנאשם עונש חמור ומרתיע של מאסר בפועל לתקופה ממושכת</w:t>
      </w:r>
      <w:r>
        <w:rPr>
          <w:rtl w:val="true"/>
        </w:rPr>
        <w:t xml:space="preserve">, </w:t>
      </w:r>
      <w:r>
        <w:rPr>
          <w:rtl w:val="true"/>
        </w:rPr>
        <w:t xml:space="preserve">בהדגישה כי רף הענישה בנסיבות של החזקת אקדח בודד נע בין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עוד ביקשה להטיל על הנאשם מאסר על תנאי וקנס</w:t>
      </w:r>
      <w:r>
        <w:rPr>
          <w:rtl w:val="true"/>
        </w:rPr>
        <w:t>.</w:t>
      </w:r>
    </w:p>
    <w:p>
      <w:pPr>
        <w:pStyle w:val="Style14"/>
        <w:numPr>
          <w:ilvl w:val="0"/>
          <w:numId w:val="0"/>
        </w:numPr>
        <w:tabs>
          <w:tab w:val="left" w:pos="720" w:leader="none"/>
        </w:tabs>
        <w:ind w:hanging="0" w:start="360" w:end="0"/>
        <w:jc w:val="both"/>
        <w:rPr/>
      </w:pPr>
      <w:r>
        <w:rPr>
          <w:rtl w:val="true"/>
        </w:rPr>
      </w:r>
    </w:p>
    <w:p>
      <w:pPr>
        <w:pStyle w:val="Style14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הסנגור הדגיש בטיעוניו את 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וציין כי מדובר באדם מבוגר וחולה המתקיים מקצבה הבטחת הכנסה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הינו אדם חיובי</w:t>
      </w:r>
      <w:r>
        <w:rPr>
          <w:rtl w:val="true"/>
        </w:rPr>
        <w:t xml:space="preserve">, </w:t>
      </w:r>
      <w:r>
        <w:rPr>
          <w:rtl w:val="true"/>
        </w:rPr>
        <w:t>ללא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אשר </w:t>
      </w:r>
      <w:r>
        <w:rPr>
          <w:rtl w:val="true"/>
        </w:rPr>
        <w:t>"</w:t>
      </w:r>
      <w:r>
        <w:rPr>
          <w:rtl w:val="true"/>
        </w:rPr>
        <w:t>יום אחד נאחז</w:t>
      </w:r>
      <w:r>
        <w:rPr>
          <w:rtl w:val="true"/>
        </w:rPr>
        <w:t>...</w:t>
      </w:r>
      <w:r>
        <w:rPr>
          <w:rtl w:val="true"/>
        </w:rPr>
        <w:t>ברוח שטות</w:t>
      </w:r>
      <w:r>
        <w:rPr>
          <w:rtl w:val="true"/>
        </w:rPr>
        <w:t xml:space="preserve">" </w:t>
      </w:r>
      <w:r>
        <w:rPr>
          <w:rtl w:val="true"/>
        </w:rPr>
        <w:t xml:space="preserve">והחליט לקנות את כלי הנשק </w:t>
      </w:r>
      <w:r>
        <w:rPr>
          <w:rtl w:val="true"/>
        </w:rPr>
        <w:t>"</w:t>
      </w:r>
      <w:r>
        <w:rPr>
          <w:rtl w:val="true"/>
        </w:rPr>
        <w:t>שלא לצורך מסחר</w:t>
      </w:r>
      <w:r>
        <w:rPr>
          <w:rtl w:val="true"/>
        </w:rPr>
        <w:t xml:space="preserve">". </w:t>
      </w:r>
      <w:r>
        <w:rPr>
          <w:rtl w:val="true"/>
        </w:rPr>
        <w:t>היום הנאשם מכה על חטא וחש בושה גדולה עקב מעשיו</w:t>
      </w:r>
      <w:r>
        <w:rPr>
          <w:rtl w:val="true"/>
        </w:rPr>
        <w:t>.</w:t>
      </w:r>
    </w:p>
    <w:p>
      <w:pPr>
        <w:pStyle w:val="Style14"/>
        <w:numPr>
          <w:ilvl w:val="0"/>
          <w:numId w:val="0"/>
        </w:numPr>
        <w:tabs>
          <w:tab w:val="left" w:pos="720" w:leader="none"/>
        </w:tabs>
        <w:ind w:hanging="0" w:start="36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 טען כי הנאשם אינו נכנס תחת הקטגוריה הרחבה של תופעת סוחרי הנשק</w:t>
      </w:r>
      <w:r>
        <w:rPr>
          <w:rtl w:val="true"/>
        </w:rPr>
        <w:t xml:space="preserve">, </w:t>
      </w:r>
      <w:r>
        <w:rPr>
          <w:rtl w:val="true"/>
        </w:rPr>
        <w:t xml:space="preserve">וזאת </w:t>
      </w:r>
      <w:r>
        <w:rPr>
          <w:rtl w:val="true"/>
        </w:rPr>
        <w:tab/>
      </w:r>
      <w:r>
        <w:rPr>
          <w:rtl w:val="true"/>
        </w:rPr>
        <w:t>בהתייחס לגילו ולמאפייניו הנורמטיביים</w:t>
      </w:r>
      <w:r>
        <w:rPr>
          <w:rtl w:val="true"/>
        </w:rPr>
        <w:t xml:space="preserve">, </w:t>
      </w:r>
      <w:r>
        <w:rPr>
          <w:rtl w:val="true"/>
        </w:rPr>
        <w:t xml:space="preserve">כשלדבריו המקרה דנן </w:t>
      </w:r>
      <w:r>
        <w:rPr>
          <w:rtl w:val="true"/>
        </w:rPr>
        <w:t>"</w:t>
      </w:r>
      <w:r>
        <w:rPr>
          <w:rtl w:val="true"/>
        </w:rPr>
        <w:t xml:space="preserve">יותר דומה לאוסף של </w:t>
      </w:r>
      <w:r>
        <w:rPr>
          <w:rtl w:val="true"/>
        </w:rPr>
        <w:tab/>
      </w:r>
      <w:r>
        <w:rPr>
          <w:rtl w:val="true"/>
        </w:rPr>
        <w:t>נשק</w:t>
      </w:r>
      <w:r>
        <w:rPr>
          <w:rtl w:val="true"/>
        </w:rPr>
        <w:t xml:space="preserve">".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 לא ביקש לעשות שימוש בנשק</w:t>
      </w:r>
      <w:r>
        <w:rPr>
          <w:rtl w:val="true"/>
        </w:rPr>
        <w:t xml:space="preserve">, </w:t>
      </w:r>
      <w:r>
        <w:rPr>
          <w:rtl w:val="true"/>
        </w:rPr>
        <w:t xml:space="preserve">והסביר כי החזיק בנשק </w:t>
      </w:r>
      <w:r>
        <w:rPr>
          <w:rtl w:val="true"/>
        </w:rPr>
        <w:t>"</w:t>
      </w:r>
      <w:r>
        <w:rPr>
          <w:rtl w:val="true"/>
        </w:rPr>
        <w:t xml:space="preserve">בשביל </w:t>
      </w:r>
      <w:r>
        <w:rPr>
          <w:rtl w:val="true"/>
        </w:rPr>
        <w:tab/>
      </w:r>
      <w:r>
        <w:rPr>
          <w:rtl w:val="true"/>
        </w:rPr>
        <w:t>סטטוס</w:t>
      </w:r>
      <w:r>
        <w:rPr>
          <w:rtl w:val="true"/>
        </w:rPr>
        <w:t>".</w:t>
      </w:r>
    </w:p>
    <w:p>
      <w:pPr>
        <w:pStyle w:val="Style14"/>
        <w:numPr>
          <w:ilvl w:val="0"/>
          <w:numId w:val="0"/>
        </w:numPr>
        <w:tabs>
          <w:tab w:val="left" w:pos="720" w:leader="none"/>
        </w:tabs>
        <w:ind w:hanging="0" w:start="36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 לעונש ההולם</w:t>
      </w:r>
      <w:r>
        <w:rPr>
          <w:rtl w:val="true"/>
        </w:rPr>
        <w:t xml:space="preserve">, </w:t>
      </w:r>
      <w:r>
        <w:rPr>
          <w:rtl w:val="true"/>
        </w:rPr>
        <w:t xml:space="preserve">הסנגור טוען כי בהינתן נסיבותיו האישיות של הנאשם אין להטיל עליו </w:t>
      </w:r>
      <w:r>
        <w:rPr>
          <w:rtl w:val="true"/>
        </w:rPr>
        <w:tab/>
      </w:r>
      <w:r>
        <w:rPr>
          <w:rtl w:val="true"/>
        </w:rPr>
        <w:t>מאסר ארוך</w:t>
      </w:r>
      <w:r>
        <w:rPr>
          <w:rtl w:val="true"/>
        </w:rPr>
        <w:t xml:space="preserve">, </w:t>
      </w:r>
      <w:r>
        <w:rPr>
          <w:rtl w:val="true"/>
        </w:rPr>
        <w:t>אלא יש להסתפק במאסר הולם ברוח הפסיקה אליה הפנה</w:t>
      </w:r>
      <w:r>
        <w:rPr>
          <w:rtl w:val="true"/>
        </w:rPr>
        <w:t>.</w:t>
      </w:r>
    </w:p>
    <w:p>
      <w:pPr>
        <w:pStyle w:val="Style14"/>
        <w:numPr>
          <w:ilvl w:val="0"/>
          <w:numId w:val="0"/>
        </w:numPr>
        <w:tabs>
          <w:tab w:val="left" w:pos="720" w:leader="none"/>
        </w:tabs>
        <w:ind w:hanging="0" w:start="360" w:end="0"/>
        <w:jc w:val="both"/>
        <w:rPr/>
      </w:pPr>
      <w:r>
        <w:rPr>
          <w:rtl w:val="true"/>
        </w:rPr>
      </w:r>
    </w:p>
    <w:p>
      <w:pPr>
        <w:pStyle w:val="Style14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במסגרת הטיעונים לעונש ביקש הנאשם להשמיע מספר עדי אופי</w:t>
      </w:r>
      <w:r>
        <w:rPr>
          <w:rtl w:val="true"/>
        </w:rPr>
        <w:t>.</w:t>
      </w:r>
    </w:p>
    <w:p>
      <w:pPr>
        <w:pStyle w:val="Style14"/>
        <w:numPr>
          <w:ilvl w:val="0"/>
          <w:numId w:val="0"/>
        </w:numPr>
        <w:tabs>
          <w:tab w:val="left" w:pos="720" w:leader="none"/>
        </w:tabs>
        <w:ind w:hanging="0" w:start="36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מר איסלאם אמארה</w:t>
      </w:r>
      <w:r>
        <w:rPr>
          <w:rtl w:val="true"/>
        </w:rPr>
        <w:t xml:space="preserve">, </w:t>
      </w:r>
      <w:r>
        <w:rPr>
          <w:rtl w:val="true"/>
        </w:rPr>
        <w:t>מנכ</w:t>
      </w:r>
      <w:r>
        <w:rPr>
          <w:rtl w:val="true"/>
        </w:rPr>
        <w:t>"</w:t>
      </w:r>
      <w:r>
        <w:rPr>
          <w:rtl w:val="true"/>
        </w:rPr>
        <w:t>ל הרשות המקומית בכפר כנא</w:t>
      </w:r>
      <w:r>
        <w:rPr>
          <w:rtl w:val="true"/>
        </w:rPr>
        <w:t xml:space="preserve">, </w:t>
      </w:r>
      <w:r>
        <w:rPr>
          <w:rtl w:val="true"/>
        </w:rPr>
        <w:t>הוא בן הדוד של הנאשם</w:t>
      </w:r>
      <w:r>
        <w:rPr>
          <w:rtl w:val="true"/>
        </w:rPr>
        <w:t xml:space="preserve">, </w:t>
      </w:r>
      <w:r>
        <w:rPr>
          <w:rtl w:val="true"/>
        </w:rPr>
        <w:t xml:space="preserve">ומצוי </w:t>
      </w:r>
      <w:r>
        <w:rPr>
          <w:rtl w:val="true"/>
        </w:rPr>
        <w:tab/>
      </w:r>
      <w:r>
        <w:rPr>
          <w:rtl w:val="true"/>
        </w:rPr>
        <w:t>עימו ביחסי חברות קרובים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מדובר באדם חיובי</w:t>
      </w:r>
      <w:r>
        <w:rPr>
          <w:rtl w:val="true"/>
        </w:rPr>
        <w:t xml:space="preserve">, </w:t>
      </w:r>
      <w:r>
        <w:rPr>
          <w:rtl w:val="true"/>
        </w:rPr>
        <w:t>התורם מזמנו לקהילה</w:t>
      </w:r>
      <w:r>
        <w:rPr>
          <w:rtl w:val="true"/>
        </w:rPr>
        <w:t xml:space="preserve">. </w:t>
      </w:r>
      <w:r>
        <w:rPr>
          <w:rtl w:val="true"/>
        </w:rPr>
        <w:t xml:space="preserve">ביחס </w:t>
      </w:r>
      <w:r>
        <w:rPr>
          <w:rtl w:val="true"/>
        </w:rPr>
        <w:tab/>
      </w:r>
      <w:r>
        <w:rPr>
          <w:rtl w:val="true"/>
        </w:rPr>
        <w:t>להסתבכותו של הנאשם בעבירות</w:t>
      </w:r>
      <w:r>
        <w:rPr>
          <w:rtl w:val="true"/>
        </w:rPr>
        <w:t xml:space="preserve">, </w:t>
      </w:r>
      <w:r>
        <w:rPr>
          <w:rtl w:val="true"/>
        </w:rPr>
        <w:t xml:space="preserve">מסר העד כי לעניות דעתו הנאשם היה קורבן שהסתבך </w:t>
      </w:r>
      <w:r>
        <w:rPr>
          <w:rtl w:val="true"/>
        </w:rPr>
        <w:tab/>
      </w:r>
      <w:r>
        <w:rPr>
          <w:rtl w:val="true"/>
        </w:rPr>
        <w:t xml:space="preserve">עקב כך שאחרים </w:t>
      </w:r>
      <w:r>
        <w:rPr>
          <w:rtl w:val="true"/>
        </w:rPr>
        <w:t>"</w:t>
      </w:r>
      <w:r>
        <w:rPr>
          <w:rtl w:val="true"/>
        </w:rPr>
        <w:t>סידרו אותו</w:t>
      </w:r>
      <w:r>
        <w:rPr>
          <w:rtl w:val="true"/>
        </w:rPr>
        <w:t>".</w:t>
      </w:r>
    </w:p>
    <w:p>
      <w:pPr>
        <w:pStyle w:val="Style14"/>
        <w:numPr>
          <w:ilvl w:val="0"/>
          <w:numId w:val="0"/>
        </w:numPr>
        <w:tabs>
          <w:tab w:val="left" w:pos="720" w:leader="none"/>
        </w:tabs>
        <w:ind w:hanging="0" w:start="360" w:end="0"/>
        <w:jc w:val="both"/>
        <w:rPr/>
      </w:pPr>
      <w:r>
        <w:rPr>
          <w:rtl w:val="true"/>
        </w:rPr>
      </w:r>
    </w:p>
    <w:p>
      <w:pPr>
        <w:pStyle w:val="Style14"/>
        <w:numPr>
          <w:ilvl w:val="0"/>
          <w:numId w:val="0"/>
        </w:numPr>
        <w:tabs>
          <w:tab w:val="left" w:pos="720" w:leader="none"/>
        </w:tabs>
        <w:ind w:hanging="0" w:start="36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מר חוסיין חטיב</w:t>
      </w:r>
      <w:r>
        <w:rPr>
          <w:rtl w:val="true"/>
        </w:rPr>
        <w:t xml:space="preserve">, </w:t>
      </w:r>
      <w:r>
        <w:rPr>
          <w:rtl w:val="true"/>
        </w:rPr>
        <w:t>מורה לנהיגה אשר שימש בעבר כראש מועצה</w:t>
      </w:r>
      <w:r>
        <w:rPr>
          <w:rtl w:val="true"/>
        </w:rPr>
        <w:t xml:space="preserve">, </w:t>
      </w:r>
      <w:r>
        <w:rPr>
          <w:rtl w:val="true"/>
        </w:rPr>
        <w:t xml:space="preserve">הוא חבר משפחתו של 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מר חטיב תיאר את הנאשם כאדם שקט</w:t>
      </w:r>
      <w:r>
        <w:rPr>
          <w:rtl w:val="true"/>
        </w:rPr>
        <w:t xml:space="preserve">, </w:t>
      </w:r>
      <w:r>
        <w:rPr>
          <w:rtl w:val="true"/>
        </w:rPr>
        <w:t xml:space="preserve">שלא היה מעורב בסכסוכים ושלא הסתבך </w:t>
      </w:r>
      <w:r>
        <w:rPr>
          <w:rtl w:val="true"/>
        </w:rPr>
        <w:tab/>
      </w:r>
      <w:r>
        <w:rPr>
          <w:rtl w:val="true"/>
        </w:rPr>
        <w:t>עם רשויות החוק טרם פרשה זו</w:t>
      </w:r>
      <w:r>
        <w:rPr>
          <w:rtl w:val="true"/>
        </w:rPr>
        <w:t>.</w:t>
      </w:r>
    </w:p>
    <w:p>
      <w:pPr>
        <w:pStyle w:val="Style14"/>
        <w:numPr>
          <w:ilvl w:val="0"/>
          <w:numId w:val="0"/>
        </w:numPr>
        <w:tabs>
          <w:tab w:val="left" w:pos="720" w:leader="none"/>
        </w:tabs>
        <w:ind w:hanging="0" w:start="360" w:end="0"/>
        <w:jc w:val="both"/>
        <w:rPr/>
      </w:pPr>
      <w:r>
        <w:rPr>
          <w:rtl w:val="true"/>
        </w:rPr>
      </w:r>
    </w:p>
    <w:p>
      <w:pPr>
        <w:pStyle w:val="Style14"/>
        <w:numPr>
          <w:ilvl w:val="0"/>
          <w:numId w:val="0"/>
        </w:numPr>
        <w:tabs>
          <w:tab w:val="left" w:pos="720" w:leader="none"/>
        </w:tabs>
        <w:ind w:hanging="0" w:start="36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הנאשם אמר בבית המשפט</w:t>
      </w:r>
      <w:r>
        <w:rPr>
          <w:rtl w:val="true"/>
        </w:rPr>
        <w:t xml:space="preserve">, </w:t>
      </w:r>
      <w:r>
        <w:rPr>
          <w:rtl w:val="true"/>
        </w:rPr>
        <w:t>כי אינו יודע להסביר את מעשיו</w:t>
      </w:r>
      <w:r>
        <w:rPr>
          <w:rtl w:val="true"/>
        </w:rPr>
        <w:t xml:space="preserve">, </w:t>
      </w:r>
      <w:r>
        <w:rPr>
          <w:rtl w:val="true"/>
        </w:rPr>
        <w:t xml:space="preserve">וטען כי הנשק </w:t>
      </w:r>
      <w:r>
        <w:rPr>
          <w:rtl w:val="true"/>
        </w:rPr>
        <w:t>"</w:t>
      </w:r>
      <w:r>
        <w:rPr>
          <w:rtl w:val="true"/>
        </w:rPr>
        <w:t>היה זרוק</w:t>
      </w:r>
      <w:r>
        <w:rPr>
          <w:rtl w:val="true"/>
        </w:rPr>
        <w:t xml:space="preserve">". </w:t>
        <w:tab/>
      </w:r>
      <w:r>
        <w:rPr>
          <w:rtl w:val="true"/>
        </w:rPr>
        <w:t>הוא הביע צער על מעשיו</w:t>
      </w:r>
      <w:r>
        <w:rPr>
          <w:rtl w:val="true"/>
        </w:rPr>
        <w:t xml:space="preserve">, </w:t>
      </w:r>
      <w:r>
        <w:rPr>
          <w:rtl w:val="true"/>
        </w:rPr>
        <w:t>וביקש את רחמי בית המשפט</w:t>
      </w:r>
      <w:r>
        <w:rPr>
          <w:rtl w:val="true"/>
        </w:rPr>
        <w:t>.</w:t>
      </w:r>
    </w:p>
    <w:p>
      <w:pPr>
        <w:pStyle w:val="Style14"/>
        <w:numPr>
          <w:ilvl w:val="0"/>
          <w:numId w:val="0"/>
        </w:numPr>
        <w:tabs>
          <w:tab w:val="left" w:pos="720" w:leader="none"/>
        </w:tabs>
        <w:ind w:hanging="0" w:start="360" w:end="0"/>
        <w:jc w:val="both"/>
        <w:rPr/>
      </w:pPr>
      <w:r>
        <w:rPr>
          <w:rtl w:val="true"/>
        </w:rPr>
      </w:r>
    </w:p>
    <w:p>
      <w:pPr>
        <w:pStyle w:val="Style14"/>
        <w:numPr>
          <w:ilvl w:val="0"/>
          <w:numId w:val="0"/>
        </w:numPr>
        <w:tabs>
          <w:tab w:val="left" w:pos="720" w:leader="none"/>
        </w:tabs>
        <w:ind w:hanging="0"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 והכרעה</w:t>
      </w:r>
    </w:p>
    <w:p>
      <w:pPr>
        <w:pStyle w:val="Style14"/>
        <w:numPr>
          <w:ilvl w:val="0"/>
          <w:numId w:val="0"/>
        </w:numPr>
        <w:tabs>
          <w:tab w:val="left" w:pos="720" w:leader="none"/>
        </w:tabs>
        <w:ind w:hanging="0" w:start="36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על החומרה הכרוכה בעבירות של החזקת נשק עמדתי לא אחת</w:t>
      </w:r>
      <w:r>
        <w:rPr>
          <w:rtl w:val="true"/>
        </w:rPr>
        <w:t xml:space="preserve">, </w:t>
      </w:r>
      <w:r>
        <w:rPr>
          <w:rtl w:val="true"/>
        </w:rPr>
        <w:t xml:space="preserve">תוך הדגשת המגמה אשר </w:t>
      </w:r>
      <w:r>
        <w:rPr>
          <w:rtl w:val="true"/>
        </w:rPr>
        <w:tab/>
      </w:r>
      <w:r>
        <w:rPr>
          <w:rtl w:val="true"/>
        </w:rPr>
        <w:t>יצאה מפתחו של בית המשפט העליון להחמיר עם עברייני נשק</w:t>
      </w:r>
      <w:r>
        <w:rPr>
          <w:rtl w:val="true"/>
        </w:rPr>
        <w:t xml:space="preserve">, </w:t>
      </w:r>
      <w:r>
        <w:rPr>
          <w:rtl w:val="true"/>
        </w:rPr>
        <w:t xml:space="preserve">בהינתן הסיכון הגלום בעצם </w:t>
      </w:r>
      <w:r>
        <w:rPr>
          <w:rtl w:val="true"/>
        </w:rPr>
        <w:tab/>
      </w:r>
      <w:r>
        <w:rPr>
          <w:rtl w:val="true"/>
        </w:rPr>
        <w:t>החזקתו</w:t>
      </w:r>
      <w:r>
        <w:rPr>
          <w:rtl w:val="true"/>
        </w:rPr>
        <w:t xml:space="preserve">. </w:t>
      </w:r>
      <w:r>
        <w:rPr>
          <w:rtl w:val="true"/>
        </w:rPr>
        <w:t>בעניין זה יפים דבריו של כבוד השופט ע</w:t>
      </w:r>
      <w:r>
        <w:rPr>
          <w:rtl w:val="true"/>
        </w:rPr>
        <w:t xml:space="preserve">' </w:t>
      </w:r>
      <w:r>
        <w:rPr>
          <w:rtl w:val="true"/>
        </w:rPr>
        <w:t>פוגלמן ב</w:t>
      </w:r>
      <w:hyperlink r:id="rId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8416/09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  <w:tab/>
      </w:r>
      <w:r>
        <w:rPr>
          <w:b/>
          <w:b/>
          <w:bCs/>
          <w:rtl w:val="true"/>
        </w:rPr>
        <w:t>מחמוד חרבוש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 פורסם</w:t>
      </w:r>
      <w:r>
        <w:rPr>
          <w:rtl w:val="true"/>
        </w:rPr>
        <w:t xml:space="preserve">, </w:t>
      </w:r>
      <w:r>
        <w:rPr/>
        <w:t>09.06.10</w:t>
      </w:r>
      <w:r>
        <w:rPr>
          <w:rtl w:val="true"/>
        </w:rPr>
        <w:t xml:space="preserve">), </w:t>
      </w:r>
      <w:r>
        <w:rPr>
          <w:rtl w:val="true"/>
        </w:rPr>
        <w:t>ולפיהם</w:t>
      </w:r>
      <w:r>
        <w:rPr>
          <w:rtl w:val="true"/>
        </w:rPr>
        <w:t>:</w:t>
      </w:r>
    </w:p>
    <w:p>
      <w:pPr>
        <w:pStyle w:val="Style14"/>
        <w:numPr>
          <w:ilvl w:val="0"/>
          <w:numId w:val="0"/>
        </w:numPr>
        <w:tabs>
          <w:tab w:val="left" w:pos="720" w:leader="none"/>
        </w:tabs>
        <w:ind w:hanging="0" w:start="360" w:end="0"/>
        <w:jc w:val="both"/>
        <w:rPr/>
      </w:pPr>
      <w:r>
        <w:rPr>
          <w:rtl w:val="true"/>
        </w:rPr>
      </w:r>
    </w:p>
    <w:p>
      <w:pPr>
        <w:pStyle w:val="Style14"/>
        <w:numPr>
          <w:ilvl w:val="0"/>
          <w:numId w:val="0"/>
        </w:numPr>
        <w:tabs>
          <w:tab w:val="left" w:pos="720" w:leader="none"/>
        </w:tabs>
        <w:ind w:hanging="0" w:start="1440"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חומרתה של עבירת החזקת 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מקורה בכך שעבירה זאת אינה נעשית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לרוב אלא כדי לאפשר ביצוען של עבירות אחרות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שמעצם טבעו של 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כרוכות באלימות או בהפחדה</w:t>
      </w:r>
      <w:r>
        <w:rPr>
          <w:b/>
          <w:bCs/>
          <w:rtl w:val="true"/>
        </w:rPr>
        <w:t>. ...</w:t>
      </w:r>
      <w:r>
        <w:rPr>
          <w:b/>
          <w:b/>
          <w:bCs/>
          <w:rtl w:val="true"/>
        </w:rPr>
        <w:t>המציאות השוררת בארץ המתבטאת בזמינותו של נשק חם ורב עוצמה שיש עמו פוטנציאל להסלמת האלימות העבריינית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מחייבת מתן ביטוי עונשי הולם והחמרה ברמת הענישה</w:t>
      </w:r>
      <w:r>
        <w:rPr>
          <w:b/>
          <w:bCs/>
          <w:rtl w:val="true"/>
        </w:rPr>
        <w:t xml:space="preserve">... . </w:t>
      </w:r>
      <w:r>
        <w:rPr>
          <w:b/>
          <w:b/>
          <w:bCs/>
          <w:rtl w:val="true"/>
        </w:rPr>
        <w:t>יש לעשות כן עוד בטרם ייעשה באקדח שימוש קטלני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באמצעות הרחקת המחזיק בו מן החברה לפרק זמן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והעברת מסר מרתיע באמצעות עונש מאסר ממשי לריצוי בפועל </w:t>
      </w:r>
      <w:r>
        <w:rPr>
          <w:b/>
          <w:bCs/>
          <w:rtl w:val="true"/>
        </w:rPr>
        <w:t>...</w:t>
      </w:r>
      <w:r>
        <w:rPr>
          <w:rtl w:val="true"/>
        </w:rPr>
        <w:t>".</w:t>
      </w:r>
    </w:p>
    <w:p>
      <w:pPr>
        <w:pStyle w:val="Style14"/>
        <w:numPr>
          <w:ilvl w:val="0"/>
          <w:numId w:val="0"/>
        </w:numPr>
        <w:tabs>
          <w:tab w:val="left" w:pos="720" w:leader="none"/>
        </w:tabs>
        <w:ind w:hanging="0" w:start="360" w:end="0"/>
        <w:jc w:val="both"/>
        <w:rPr/>
      </w:pPr>
      <w:r>
        <w:rPr>
          <w:rtl w:val="true"/>
        </w:rPr>
      </w:r>
    </w:p>
    <w:p>
      <w:pPr>
        <w:pStyle w:val="Style14"/>
        <w:numPr>
          <w:ilvl w:val="0"/>
          <w:numId w:val="0"/>
        </w:numPr>
        <w:tabs>
          <w:tab w:val="left" w:pos="720" w:leader="none"/>
        </w:tabs>
        <w:ind w:hanging="36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עמדה זו</w:t>
      </w:r>
      <w:r>
        <w:rPr>
          <w:rtl w:val="true"/>
        </w:rPr>
        <w:t xml:space="preserve">, </w:t>
      </w:r>
      <w:r>
        <w:rPr>
          <w:rtl w:val="true"/>
        </w:rPr>
        <w:t>ולפיה יש מקום להטיל עונש של מאסר בפועל על מי שהורשע בהחזקת נשק</w:t>
      </w:r>
      <w:r>
        <w:rPr>
          <w:rtl w:val="true"/>
        </w:rPr>
        <w:t xml:space="preserve">, </w:t>
      </w:r>
      <w:r>
        <w:rPr>
          <w:rtl w:val="true"/>
        </w:rPr>
        <w:t>אומצה בשורה של פסקי דין אשר דנו בעבירות בדרגות חומרה שונות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גם מי שהורשע בעבירה של החזקת נשק בלבד</w:t>
      </w:r>
      <w:r>
        <w:rPr>
          <w:rtl w:val="true"/>
        </w:rPr>
        <w:t xml:space="preserve">, </w:t>
      </w:r>
      <w:r>
        <w:rPr>
          <w:rtl w:val="true"/>
        </w:rPr>
        <w:t>כדוגמתו של הנאשם</w:t>
      </w:r>
      <w:r>
        <w:rPr>
          <w:rtl w:val="true"/>
        </w:rPr>
        <w:t xml:space="preserve">, </w:t>
      </w:r>
      <w:r>
        <w:rPr>
          <w:rtl w:val="true"/>
        </w:rPr>
        <w:t>צפוי לעונש של מאסר מאחורי סורג ובריח</w:t>
      </w:r>
      <w:r>
        <w:rPr>
          <w:rtl w:val="true"/>
        </w:rPr>
        <w:t xml:space="preserve">. </w:t>
      </w:r>
      <w:r>
        <w:rPr>
          <w:rtl w:val="true"/>
        </w:rPr>
        <w:t>ייאמר</w:t>
      </w:r>
      <w:r>
        <w:rPr>
          <w:rtl w:val="true"/>
        </w:rPr>
        <w:t xml:space="preserve">, </w:t>
      </w:r>
      <w:r>
        <w:rPr>
          <w:rtl w:val="true"/>
        </w:rPr>
        <w:t>כי הסנגור מקבל את העמדה האמורה</w:t>
      </w:r>
      <w:r>
        <w:rPr>
          <w:rtl w:val="true"/>
        </w:rPr>
        <w:t xml:space="preserve">, </w:t>
      </w:r>
      <w:r>
        <w:rPr>
          <w:rtl w:val="true"/>
        </w:rPr>
        <w:t>ומכוון טיעונו לעניין אורכו של המאסר הראוי בנסיבותיו של המקרה והנאשם</w:t>
      </w:r>
      <w:r>
        <w:rPr>
          <w:rtl w:val="true"/>
        </w:rPr>
        <w:t>.</w:t>
      </w:r>
    </w:p>
    <w:p>
      <w:pPr>
        <w:pStyle w:val="Style14"/>
        <w:numPr>
          <w:ilvl w:val="0"/>
          <w:numId w:val="0"/>
        </w:numPr>
        <w:tabs>
          <w:tab w:val="left" w:pos="720" w:leader="none"/>
        </w:tabs>
        <w:ind w:hanging="0" w:start="360" w:end="0"/>
        <w:jc w:val="both"/>
        <w:rPr/>
      </w:pPr>
      <w:r>
        <w:rPr>
          <w:rtl w:val="true"/>
        </w:rPr>
        <w:tab/>
      </w:r>
    </w:p>
    <w:p>
      <w:pPr>
        <w:pStyle w:val="Style14"/>
        <w:numPr>
          <w:ilvl w:val="0"/>
          <w:numId w:val="0"/>
        </w:numPr>
        <w:tabs>
          <w:tab w:val="left" w:pos="720" w:leader="none"/>
        </w:tabs>
        <w:ind w:hanging="36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כפי שקבעתי במקרה אחר שנסיבותיו דומות</w:t>
      </w:r>
      <w:r>
        <w:rPr>
          <w:rtl w:val="true"/>
        </w:rPr>
        <w:t xml:space="preserve">, </w:t>
      </w:r>
      <w:r>
        <w:rPr>
          <w:rtl w:val="true"/>
        </w:rPr>
        <w:t>העונש ההולם את מעשיו של הנאשם הנו עונש של מאסר בפועל</w:t>
      </w:r>
      <w:r>
        <w:rPr>
          <w:rtl w:val="true"/>
        </w:rPr>
        <w:t xml:space="preserve">, </w:t>
      </w:r>
      <w:r>
        <w:rPr>
          <w:rtl w:val="true"/>
        </w:rPr>
        <w:t>והמתחם הראוי בנסיבות דנן אינו פחות מ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ואינו עולה על שלוש שנים </w:t>
      </w:r>
      <w:r>
        <w:rPr>
          <w:rtl w:val="true"/>
        </w:rPr>
        <w:t>(</w:t>
      </w:r>
      <w:r>
        <w:rPr>
          <w:rtl w:val="true"/>
        </w:rPr>
        <w:t xml:space="preserve">ראה </w:t>
      </w:r>
      <w:hyperlink r:id="rId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15527-08-12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 ליל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 xml:space="preserve">דין מיום </w:t>
      </w:r>
      <w:r>
        <w:rPr/>
        <w:t>12.06.12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עניין אבו ליל</w:t>
      </w:r>
      <w:r>
        <w:rPr>
          <w:rtl w:val="true"/>
        </w:rPr>
        <w:t>").</w:t>
      </w:r>
    </w:p>
    <w:p>
      <w:pPr>
        <w:pStyle w:val="Style14"/>
        <w:numPr>
          <w:ilvl w:val="0"/>
          <w:numId w:val="0"/>
        </w:numPr>
        <w:tabs>
          <w:tab w:val="left" w:pos="720" w:leader="none"/>
        </w:tabs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Style14"/>
        <w:numPr>
          <w:ilvl w:val="0"/>
          <w:numId w:val="0"/>
        </w:numPr>
        <w:tabs>
          <w:tab w:val="left" w:pos="720" w:leader="none"/>
        </w:tabs>
        <w:ind w:hanging="0" w:start="36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הנסיבות המחמירות נוגעות לעניין היוזמה שנקט הנאשם</w:t>
      </w:r>
      <w:r>
        <w:rPr>
          <w:rtl w:val="true"/>
        </w:rPr>
        <w:t xml:space="preserve">, </w:t>
      </w:r>
      <w:r>
        <w:rPr>
          <w:rtl w:val="true"/>
        </w:rPr>
        <w:t xml:space="preserve">אשר רכש בעצמו את </w:t>
      </w:r>
      <w:r>
        <w:rPr>
          <w:rtl w:val="true"/>
        </w:rPr>
        <w:tab/>
      </w:r>
      <w:r>
        <w:rPr>
          <w:rtl w:val="true"/>
        </w:rPr>
        <w:t>כלי הנשק</w:t>
      </w:r>
      <w:r>
        <w:rPr>
          <w:rtl w:val="true"/>
        </w:rPr>
        <w:t xml:space="preserve">, </w:t>
      </w:r>
      <w:r>
        <w:rPr>
          <w:rtl w:val="true"/>
        </w:rPr>
        <w:t>ולכמות הגדולה של כלי הנשק והתחמושת</w:t>
      </w:r>
      <w:r>
        <w:rPr>
          <w:rtl w:val="true"/>
        </w:rPr>
        <w:t>.</w:t>
      </w:r>
    </w:p>
    <w:p>
      <w:pPr>
        <w:pStyle w:val="Style14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קיימות במקרה דנן נסיבות מקלות רבות</w:t>
      </w:r>
      <w:r>
        <w:rPr>
          <w:rtl w:val="true"/>
        </w:rPr>
        <w:t xml:space="preserve">, </w:t>
      </w:r>
      <w:r>
        <w:rPr>
          <w:rtl w:val="true"/>
        </w:rPr>
        <w:t>ובהן הודאתו של הנאשם בעובדות כתב האישום</w:t>
      </w:r>
      <w:r>
        <w:rPr>
          <w:rtl w:val="true"/>
        </w:rPr>
        <w:t xml:space="preserve">; </w:t>
      </w:r>
      <w:r>
        <w:rPr>
          <w:rtl w:val="true"/>
        </w:rPr>
        <w:t xml:space="preserve">עברו </w:t>
      </w:r>
      <w:r>
        <w:rPr>
          <w:rtl w:val="true"/>
        </w:rPr>
        <w:t>"</w:t>
      </w:r>
      <w:r>
        <w:rPr>
          <w:rtl w:val="true"/>
        </w:rPr>
        <w:t>הנקי</w:t>
      </w:r>
      <w:r>
        <w:rPr>
          <w:rtl w:val="true"/>
        </w:rPr>
        <w:t xml:space="preserve">"; </w:t>
      </w:r>
      <w:r>
        <w:rPr>
          <w:rtl w:val="true"/>
        </w:rPr>
        <w:t>ונסיבותיו האישיות</w:t>
      </w:r>
      <w:r>
        <w:rPr>
          <w:rtl w:val="true"/>
        </w:rPr>
        <w:t xml:space="preserve">, </w:t>
      </w:r>
      <w:r>
        <w:rPr>
          <w:rtl w:val="true"/>
        </w:rPr>
        <w:t>בהן גילו</w:t>
      </w:r>
      <w:r>
        <w:rPr>
          <w:rtl w:val="true"/>
        </w:rPr>
        <w:t xml:space="preserve">, </w:t>
      </w:r>
      <w:r>
        <w:rPr>
          <w:rtl w:val="true"/>
        </w:rPr>
        <w:t xml:space="preserve">מצבו הבריאותי ועובדת </w:t>
      </w:r>
      <w:r>
        <w:rPr>
          <w:rtl w:val="true"/>
        </w:rPr>
        <w:tab/>
      </w:r>
      <w:r>
        <w:rPr>
          <w:rtl w:val="true"/>
        </w:rPr>
        <w:t>היותו בעל משפחה</w:t>
      </w:r>
      <w:r>
        <w:rPr>
          <w:rtl w:val="true"/>
        </w:rPr>
        <w:t xml:space="preserve">. </w:t>
      </w:r>
      <w:r>
        <w:rPr>
          <w:rtl w:val="true"/>
        </w:rPr>
        <w:t>בהקשר זה אציין כי הוגשו מסמכים רפואיים המעידים על כך שהנאשם נזקק לניתוח בקרסולו</w:t>
      </w:r>
      <w:r>
        <w:rPr>
          <w:rtl w:val="true"/>
        </w:rPr>
        <w:t xml:space="preserve">, </w:t>
      </w:r>
      <w:r>
        <w:rPr>
          <w:rtl w:val="true"/>
        </w:rPr>
        <w:t>ככל הנראה עקב כאבי רגליים מהם הוא סובל</w:t>
      </w:r>
      <w:r>
        <w:rPr>
          <w:rtl w:val="true"/>
        </w:rPr>
        <w:t xml:space="preserve">, </w:t>
      </w:r>
      <w:r>
        <w:rPr>
          <w:rtl w:val="true"/>
        </w:rPr>
        <w:t>וכן כי התרשמתי מקשיי שמיעה אצל הנאשם</w:t>
      </w:r>
      <w:r>
        <w:rPr>
          <w:rtl w:val="true"/>
        </w:rPr>
        <w:t xml:space="preserve">, </w:t>
      </w:r>
      <w:r>
        <w:rPr>
          <w:rtl w:val="true"/>
        </w:rPr>
        <w:t>כפי שמדווח גם בתסקיר שירות המבחן</w:t>
      </w:r>
      <w:r>
        <w:rPr>
          <w:rtl w:val="true"/>
        </w:rPr>
        <w:t>.</w:t>
      </w:r>
    </w:p>
    <w:p>
      <w:pPr>
        <w:pStyle w:val="Style14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עוד נתתי דעתי לעדים שהופיעו בפניי</w:t>
      </w:r>
      <w:r>
        <w:rPr>
          <w:rtl w:val="true"/>
        </w:rPr>
        <w:t xml:space="preserve">, </w:t>
      </w:r>
      <w:r>
        <w:rPr>
          <w:rtl w:val="true"/>
        </w:rPr>
        <w:t>כשבעניין זה אסייג כי לא חרף אופיו הנורמטיבי על</w:t>
      </w:r>
      <w:r>
        <w:rPr>
          <w:rtl w:val="true"/>
        </w:rPr>
        <w:t>-</w:t>
      </w:r>
      <w:r>
        <w:rPr>
          <w:rtl w:val="true"/>
        </w:rPr>
        <w:t>פי רוב</w:t>
      </w:r>
      <w:r>
        <w:rPr>
          <w:rtl w:val="true"/>
        </w:rPr>
        <w:t xml:space="preserve">, </w:t>
      </w:r>
      <w:r>
        <w:rPr>
          <w:rtl w:val="true"/>
        </w:rPr>
        <w:t>לא התרשמתי כי הנאשם תרם תרומה יוצאת דופן לקהילה</w:t>
      </w:r>
      <w:r>
        <w:rPr>
          <w:rtl w:val="true"/>
        </w:rPr>
        <w:t xml:space="preserve">, </w:t>
      </w:r>
      <w:r>
        <w:rPr>
          <w:rtl w:val="true"/>
        </w:rPr>
        <w:t>ובודאי לא כזו המצדיקה הקלה נוספת בעונשו</w:t>
      </w:r>
      <w:r>
        <w:rPr>
          <w:rtl w:val="true"/>
        </w:rPr>
        <w:t>.</w:t>
      </w:r>
    </w:p>
    <w:p>
      <w:pPr>
        <w:pStyle w:val="Style14"/>
        <w:numPr>
          <w:ilvl w:val="0"/>
          <w:numId w:val="0"/>
        </w:numPr>
        <w:tabs>
          <w:tab w:val="left" w:pos="720" w:leader="none"/>
        </w:tabs>
        <w:ind w:hanging="0" w:start="360" w:end="0"/>
        <w:jc w:val="both"/>
        <w:rPr/>
      </w:pPr>
      <w:r>
        <w:rPr>
          <w:rtl w:val="true"/>
        </w:rPr>
      </w:r>
    </w:p>
    <w:p>
      <w:pPr>
        <w:pStyle w:val="Style14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בכל הנוגע לטענות בדבר מצבו הכלכלי של הנאשם</w:t>
      </w:r>
      <w:r>
        <w:rPr>
          <w:rtl w:val="true"/>
        </w:rPr>
        <w:t xml:space="preserve">, </w:t>
      </w:r>
      <w:r>
        <w:rPr>
          <w:rtl w:val="true"/>
        </w:rPr>
        <w:t>אציין כי לא הובאו כל ראיות התומכות בטענותיו</w:t>
      </w:r>
      <w:r>
        <w:rPr>
          <w:rtl w:val="true"/>
        </w:rPr>
        <w:t xml:space="preserve">, </w:t>
      </w:r>
      <w:r>
        <w:rPr>
          <w:rtl w:val="true"/>
        </w:rPr>
        <w:t>וכן כי המצוקה הכלכלית לה הוא טוען אינה מתיישבת עם החלטתו לרכוש את כלי הנשק שלא למטרות מסחר</w:t>
      </w:r>
      <w:r>
        <w:rPr>
          <w:rtl w:val="true"/>
        </w:rPr>
        <w:t xml:space="preserve">, </w:t>
      </w:r>
      <w:r>
        <w:rPr>
          <w:rtl w:val="true"/>
        </w:rPr>
        <w:t xml:space="preserve">אלא למטרות אוסף או </w:t>
      </w:r>
      <w:r>
        <w:rPr>
          <w:rtl w:val="true"/>
        </w:rPr>
        <w:t>"</w:t>
      </w:r>
      <w:r>
        <w:rPr>
          <w:rtl w:val="true"/>
        </w:rPr>
        <w:t>בשביל סטטוס</w:t>
      </w:r>
      <w:r>
        <w:rPr>
          <w:rtl w:val="true"/>
        </w:rPr>
        <w:t xml:space="preserve">", </w:t>
      </w:r>
      <w:r>
        <w:rPr>
          <w:rtl w:val="true"/>
        </w:rPr>
        <w:t>כדברי הסנגור</w:t>
      </w:r>
      <w:r>
        <w:rPr>
          <w:rtl w:val="true"/>
        </w:rPr>
        <w:t>.</w:t>
      </w:r>
    </w:p>
    <w:p>
      <w:pPr>
        <w:pStyle w:val="Style14"/>
        <w:numPr>
          <w:ilvl w:val="0"/>
          <w:numId w:val="0"/>
        </w:numPr>
        <w:tabs>
          <w:tab w:val="left" w:pos="720" w:leader="none"/>
        </w:tabs>
        <w:ind w:hanging="360" w:start="720" w:end="0"/>
        <w:jc w:val="both"/>
        <w:rPr/>
      </w:pPr>
      <w:r>
        <w:rPr>
          <w:rtl w:val="true"/>
        </w:rPr>
      </w:r>
    </w:p>
    <w:p>
      <w:pPr>
        <w:pStyle w:val="Style14"/>
        <w:numPr>
          <w:ilvl w:val="0"/>
          <w:numId w:val="0"/>
        </w:numPr>
        <w:tabs>
          <w:tab w:val="left" w:pos="720" w:leader="none"/>
        </w:tabs>
        <w:ind w:hanging="36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לסיכום ולאחר ששקלתי את כל השיקולים הן לקולא והן לחומרא ומבלי שנעלמה מעיני אף טענה מטענות ב</w:t>
      </w:r>
      <w:r>
        <w:rPr>
          <w:rtl w:val="true"/>
        </w:rPr>
        <w:t>"</w:t>
      </w:r>
      <w:r>
        <w:rPr>
          <w:rtl w:val="true"/>
        </w:rPr>
        <w:t>כ הצדדים</w:t>
      </w:r>
      <w:r>
        <w:rPr>
          <w:rtl w:val="true"/>
        </w:rPr>
        <w:t xml:space="preserve">, </w:t>
      </w:r>
      <w:r>
        <w:rPr>
          <w:rtl w:val="true"/>
        </w:rPr>
        <w:t>הן חומרת העבירה  מצד והן נסיבותיו האישיות של הנאשם כפי שפורטו לעיל</w:t>
      </w:r>
      <w:r>
        <w:rPr>
          <w:rtl w:val="true"/>
        </w:rPr>
        <w:t xml:space="preserve">, </w:t>
      </w:r>
      <w:r>
        <w:rPr>
          <w:rtl w:val="true"/>
        </w:rPr>
        <w:t>אני דן את הנאשם לעונשים הבאים</w:t>
      </w:r>
      <w:r>
        <w:rPr>
          <w:rtl w:val="true"/>
        </w:rPr>
        <w:t xml:space="preserve">: </w:t>
        <w:tab/>
        <w:br/>
      </w:r>
    </w:p>
    <w:p>
      <w:pPr>
        <w:pStyle w:val="Style14"/>
        <w:numPr>
          <w:ilvl w:val="0"/>
          <w:numId w:val="0"/>
        </w:numPr>
        <w:tabs>
          <w:tab w:val="left" w:pos="720" w:leader="none"/>
        </w:tabs>
        <w:ind w:hanging="1800" w:start="216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אני גוזר על הנאשם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 xml:space="preserve">מתוכם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חודשים לריצוי לנשיאה בפועל בניכוי ימי מעצרו מיום </w:t>
      </w:r>
      <w:r>
        <w:rPr/>
        <w:t>07.02.12</w:t>
      </w:r>
      <w:r>
        <w:rPr>
          <w:rtl w:val="true"/>
        </w:rPr>
        <w:t xml:space="preserve">, </w:t>
      </w:r>
      <w:r>
        <w:rPr>
          <w:rtl w:val="true"/>
        </w:rPr>
        <w:t>ואילו היתרה על תנאי למשך שלוש שנים</w:t>
      </w:r>
      <w:r>
        <w:rPr>
          <w:rtl w:val="true"/>
        </w:rPr>
        <w:t xml:space="preserve">, </w:t>
      </w:r>
      <w:r>
        <w:rPr>
          <w:rtl w:val="true"/>
        </w:rPr>
        <w:t>והתנאי הוא שהנאשם לא יעבור בפרק זמן זה עבירות נשק שיורשע בגינן</w:t>
      </w:r>
      <w:r>
        <w:rPr>
          <w:rtl w:val="true"/>
        </w:rPr>
        <w:t>.</w:t>
      </w:r>
    </w:p>
    <w:p>
      <w:pPr>
        <w:pStyle w:val="Style14"/>
        <w:numPr>
          <w:ilvl w:val="0"/>
          <w:numId w:val="0"/>
        </w:numPr>
        <w:tabs>
          <w:tab w:val="left" w:pos="720" w:leader="none"/>
        </w:tabs>
        <w:ind w:hanging="1800" w:start="2160" w:end="0"/>
        <w:jc w:val="both"/>
        <w:rPr>
          <w:rFonts w:ascii="Times New Roman" w:hAnsi="Times New Roman" w:cs="Times New Roman"/>
        </w:rPr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אני גוזר על הנאשם קנס בסך </w:t>
      </w:r>
      <w:r>
        <w:rPr/>
        <w:t>20,000</w:t>
      </w:r>
      <w:r>
        <w:rPr>
          <w:rtl w:val="true"/>
        </w:rPr>
        <w:t xml:space="preserve"> ₪, </w:t>
      </w:r>
      <w:r>
        <w:rPr>
          <w:rtl w:val="true"/>
        </w:rPr>
        <w:t>שישולם ב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 חודשיים שווים</w:t>
      </w:r>
      <w:r>
        <w:rPr>
          <w:rtl w:val="true"/>
        </w:rPr>
        <w:t xml:space="preserve">, </w:t>
      </w:r>
      <w:r>
        <w:rPr>
          <w:rtl w:val="true"/>
        </w:rPr>
        <w:t xml:space="preserve">החל מיום </w:t>
      </w:r>
      <w:r>
        <w:rPr/>
        <w:t>01.01.13</w:t>
      </w:r>
      <w:r>
        <w:rPr>
          <w:rtl w:val="true"/>
        </w:rPr>
        <w:t xml:space="preserve"> </w:t>
      </w:r>
      <w:r>
        <w:rPr>
          <w:rtl w:val="true"/>
        </w:rPr>
        <w:t>ועד התשלום המלא בפועל</w:t>
      </w:r>
      <w:r>
        <w:rPr>
          <w:rtl w:val="true"/>
        </w:rPr>
        <w:t xml:space="preserve">.  </w:t>
      </w:r>
      <w:r>
        <w:rPr>
          <w:rtl w:val="true"/>
        </w:rPr>
        <w:t>במידה והנאשם יפגר בתשלום כלשהו תעמוד היתרה הבלתי מסולקת לפירעון מיידי</w:t>
      </w:r>
      <w:r>
        <w:rPr>
          <w:rtl w:val="true"/>
        </w:rPr>
        <w:t xml:space="preserve">. </w:t>
      </w:r>
    </w:p>
    <w:p>
      <w:pPr>
        <w:pStyle w:val="David"/>
        <w:ind w:end="0"/>
        <w:jc w:val="both"/>
        <w:rPr>
          <w:rFonts w:ascii="Times New Roman" w:hAnsi="Times New Roman"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לבית המשפט העליון בתוך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#6#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end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תמוז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12/07/2012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תאופיק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כתילי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28675-02-12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עבד אלראוף טאהא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Style14">
    <w:name w:val="פזית"/>
    <w:basedOn w:val="Normal"/>
    <w:qFormat/>
    <w:pPr>
      <w:numPr>
        <w:ilvl w:val="0"/>
        <w:numId w:val="1"/>
      </w:numPr>
      <w:spacing w:lineRule="auto" w:line="36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06;&#1508;%208416/09" TargetMode="External"/><Relationship Id="rId4" Type="http://schemas.openxmlformats.org/officeDocument/2006/relationships/hyperlink" Target="http://www.nevo.co.il/links/psika/?NEWPROC=&#1514;&#1508;&amp;NEWPARTA=15527&amp;NEWPARTB=08&amp;NEWPARTC=12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2012-07-16T07:01:00Z</dcterms:created>
  <dc:creator> </dc:creator>
  <dc:description/>
  <cp:keywords/>
  <dc:language>en-IL</dc:language>
  <cp:lastModifiedBy>orly</cp:lastModifiedBy>
  <dcterms:modified xsi:type="dcterms:W3CDTF">2012-07-16T08:29:00Z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 אלראוף טאהא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נצ'</vt:lpwstr>
  </property>
  <property fmtid="{D5CDD505-2E9C-101B-9397-08002B2CF9AE}" pid="9" name="DATE">
    <vt:lpwstr>20120712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תאופיק כתילי</vt:lpwstr>
  </property>
  <property fmtid="{D5CDD505-2E9C-101B-9397-08002B2CF9AE}" pid="13" name="LAWYER">
    <vt:lpwstr>אחמד מסאלחה;שני וייל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28675</vt:lpwstr>
  </property>
  <property fmtid="{D5CDD505-2E9C-101B-9397-08002B2CF9AE}" pid="20" name="NEWPARTB">
    <vt:lpwstr>02</vt:lpwstr>
  </property>
  <property fmtid="{D5CDD505-2E9C-101B-9397-08002B2CF9AE}" pid="21" name="NEWPARTC">
    <vt:lpwstr>12</vt:lpwstr>
  </property>
  <property fmtid="{D5CDD505-2E9C-101B-9397-08002B2CF9AE}" pid="22" name="NEWPROC">
    <vt:lpwstr>תפ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TYPE_ABS_DATE">
    <vt:lpwstr>390020120712</vt:lpwstr>
  </property>
  <property fmtid="{D5CDD505-2E9C-101B-9397-08002B2CF9AE}" pid="32" name="TYPE_N_DATE">
    <vt:lpwstr>39020120712</vt:lpwstr>
  </property>
  <property fmtid="{D5CDD505-2E9C-101B-9397-08002B2CF9AE}" pid="33" name="VOLUME">
    <vt:lpwstr/>
  </property>
  <property fmtid="{D5CDD505-2E9C-101B-9397-08002B2CF9AE}" pid="34" name="WORDNUMPAGES">
    <vt:lpwstr>4</vt:lpwstr>
  </property>
</Properties>
</file>