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2024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28730-05-21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עשיבה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hyperlink r:id="rId3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13969-10-21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עשיבה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hyperlink r:id="rId4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20038-12-21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עשיבה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380673/2021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– תביעות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בן קאמל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אבו עשיבה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288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288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338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382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u w:val="none"/>
            <w:rtl w:val="true"/>
          </w:rPr>
          <w:t>פרק 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u w:val="none"/>
          </w:rPr>
          <w:t>22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0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u w:val="none"/>
          </w:rPr>
          <w:t>67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שלפני נותן את הדין בגין העבירות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שלפני נותן את הדין בגין 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Calibri" w:hAnsi="Calibri" w:eastAsia="David" w:cs="Calibri"/>
          <w:rtl w:val="true"/>
        </w:rPr>
        <w:t>החזקת אגרופן או סכין שלא כדין</w:t>
      </w:r>
      <w:r>
        <w:rPr>
          <w:rFonts w:eastAsia="David" w:cs="Calibri" w:ascii="Calibri" w:hAnsi="Calibri"/>
          <w:rtl w:val="true"/>
        </w:rPr>
        <w:t xml:space="preserve">, </w:t>
      </w:r>
      <w:r>
        <w:rPr>
          <w:rFonts w:ascii="Calibri" w:hAnsi="Calibri" w:eastAsia="David" w:cs="Calibri"/>
          <w:rtl w:val="true"/>
        </w:rPr>
        <w:t xml:space="preserve">בניגוד </w:t>
      </w:r>
      <w:hyperlink r:id="rId24">
        <w:r>
          <w:rPr>
            <w:rStyle w:val="Hyperlink"/>
            <w:rFonts w:ascii="Calibri" w:hAnsi="Calibri" w:eastAsia="David" w:cs="Calibri"/>
            <w:rtl w:val="true"/>
          </w:rPr>
          <w:t>לסעיף</w:t>
        </w:r>
        <w:r>
          <w:rPr>
            <w:rStyle w:val="Hyperlink"/>
            <w:rFonts w:ascii="Calibri" w:hAnsi="Calibri" w:eastAsia="David" w:cs="Calibri"/>
            <w:rtl w:val="true"/>
          </w:rPr>
          <w:t xml:space="preserve"> </w:t>
        </w:r>
        <w:r>
          <w:rPr>
            <w:rStyle w:val="Hyperlink"/>
            <w:rFonts w:eastAsia="David" w:cs="Calibri" w:ascii="Calibri" w:hAnsi="Calibri"/>
          </w:rPr>
          <w:t>186</w:t>
        </w:r>
        <w:r>
          <w:rPr>
            <w:rStyle w:val="Hyperlink"/>
            <w:rFonts w:eastAsia="David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David" w:cs="Calibri"/>
            <w:rtl w:val="true"/>
          </w:rPr>
          <w:t>א</w:t>
        </w:r>
        <w:r>
          <w:rPr>
            <w:rStyle w:val="Hyperlink"/>
            <w:rFonts w:eastAsia="David" w:cs="Calibri" w:ascii="Calibri" w:hAnsi="Calibri"/>
            <w:rtl w:val="true"/>
          </w:rPr>
          <w:t>)</w:t>
        </w:r>
      </w:hyperlink>
      <w:r>
        <w:rPr>
          <w:rFonts w:eastAsia="David" w:cs="Calibri" w:ascii="Calibri" w:hAnsi="Calibri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2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ז – </w:t>
      </w:r>
      <w:r>
        <w:rPr>
          <w:rFonts w:eastAsia="David" w:cs="David" w:ascii="David" w:hAnsi="David"/>
        </w:rPr>
        <w:t>1977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rtl w:val="true"/>
        </w:rPr>
        <w:t>החוק</w:t>
      </w:r>
      <w:r>
        <w:rPr>
          <w:rFonts w:eastAsia="David" w:cs="David" w:ascii="David" w:hAnsi="David"/>
          <w:rtl w:val="true"/>
        </w:rPr>
        <w:t>")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נהיגה פוחזת ברכב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לסעיף </w:t>
      </w:r>
      <w:hyperlink r:id="rId26">
        <w:r>
          <w:rPr>
            <w:rStyle w:val="Hyperlink"/>
            <w:rFonts w:eastAsia="David" w:cs="David" w:ascii="David" w:hAnsi="David"/>
          </w:rPr>
          <w:t>338</w:t>
        </w:r>
        <w:r>
          <w:rPr>
            <w:rStyle w:val="Hyperlink"/>
            <w:rFonts w:eastAsia="David"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לאותו החוק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עבירה אחת</w:t>
      </w:r>
      <w:r>
        <w:rPr>
          <w:rFonts w:eastAsia="David" w:cs="David" w:ascii="David" w:hAnsi="David"/>
          <w:rtl w:val="true"/>
        </w:rPr>
        <w:t>);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11" w:name="ABSTRACT_END"/>
      <w:bookmarkEnd w:id="11"/>
      <w:r>
        <w:rPr>
          <w:rFonts w:ascii="David" w:hAnsi="David" w:eastAsia="David"/>
          <w:rtl w:val="true"/>
        </w:rPr>
        <w:t>הפרעה לשוטר בעת מילוי תפקידו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27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275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לאותו החוק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שתי עבירות</w:t>
      </w:r>
      <w:r>
        <w:rPr>
          <w:rFonts w:eastAsia="David" w:cs="David" w:ascii="David" w:hAnsi="David"/>
          <w:rtl w:val="true"/>
        </w:rPr>
        <w:t>);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איומים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28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192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לאותו החוק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עבירה אחת</w:t>
      </w:r>
      <w:r>
        <w:rPr>
          <w:rFonts w:eastAsia="David" w:cs="David" w:ascii="David" w:hAnsi="David"/>
          <w:rtl w:val="true"/>
        </w:rPr>
        <w:t>);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חצית צומת באור אדום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בנסיבות מחמירות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הפרעה לאחר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29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22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3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תקנות התעבורה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תשכ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א – </w:t>
      </w:r>
      <w:r>
        <w:rPr>
          <w:rFonts w:eastAsia="David" w:cs="David" w:ascii="David" w:hAnsi="David"/>
        </w:rPr>
        <w:t>1961</w:t>
      </w:r>
      <w:r>
        <w:rPr>
          <w:rFonts w:eastAsia="David" w:cs="David" w:ascii="David" w:hAnsi="David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נהיגה ברכב מנועי כשרשיון רכב פקע מעל ששה חודשים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בניגוד </w:t>
      </w:r>
      <w:hyperlink r:id="rId31">
        <w:r>
          <w:rPr>
            <w:rStyle w:val="Hyperlink"/>
            <w:rFonts w:ascii="David" w:hAnsi="David" w:eastAsia="David"/>
            <w:rtl w:val="true"/>
          </w:rPr>
          <w:t>לסעיף</w:t>
        </w:r>
        <w:r>
          <w:rPr>
            <w:rStyle w:val="Hyperlink"/>
            <w:rFonts w:ascii="David" w:hAnsi="David" w:eastAsia="David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</w:rPr>
          <w:t>2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3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[</w:t>
      </w:r>
      <w:r>
        <w:rPr>
          <w:rFonts w:ascii="David" w:hAnsi="David" w:eastAsia="David"/>
          <w:rtl w:val="true"/>
        </w:rPr>
        <w:t>נוסח חדש</w:t>
      </w:r>
      <w:r>
        <w:rPr>
          <w:rFonts w:eastAsia="David" w:cs="David" w:ascii="David" w:hAnsi="David"/>
          <w:rtl w:val="true"/>
        </w:rPr>
        <w:t xml:space="preserve">], </w:t>
      </w:r>
      <w:r>
        <w:rPr>
          <w:rFonts w:ascii="David" w:hAnsi="David" w:eastAsia="David"/>
          <w:rtl w:val="true"/>
        </w:rPr>
        <w:t>תשכ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א </w:t>
      </w:r>
      <w:r>
        <w:rPr>
          <w:rFonts w:ascii="David" w:hAnsi="David" w:eastAsia="David"/>
          <w:rtl w:val="true"/>
        </w:rPr>
        <w:t>–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</w:rPr>
        <w:t>1961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להלן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rtl w:val="true"/>
        </w:rPr>
        <w:t>פקודת התעבורה</w:t>
      </w:r>
      <w:r>
        <w:rPr>
          <w:rFonts w:eastAsia="David" w:cs="David" w:ascii="David" w:hAnsi="David"/>
          <w:rtl w:val="true"/>
        </w:rPr>
        <w:t>").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שלושה כתבי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בתיקים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אחד מהם הינו התיק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והשניים הנוספים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צורפו בהסכמת הצדדים לתיק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כמפורט 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28730-05-21</w:t>
        </w:r>
      </w:hyperlink>
      <w:r>
        <w:rPr>
          <w:rFonts w:cs="Arial" w:ascii="Arial" w:hAnsi="Arial"/>
          <w:u w:val="single"/>
          <w:rtl w:val="true"/>
        </w:rPr>
        <w:t xml:space="preserve"> (</w:t>
      </w:r>
      <w:r>
        <w:rPr>
          <w:rFonts w:ascii="Arial" w:hAnsi="Arial" w:cs="Arial"/>
          <w:u w:val="single"/>
          <w:rtl w:val="true"/>
        </w:rPr>
        <w:t>להלן</w:t>
      </w:r>
      <w:r>
        <w:rPr>
          <w:rFonts w:cs="Arial" w:ascii="Arial" w:hAnsi="Arial"/>
          <w:u w:val="single"/>
          <w:rtl w:val="true"/>
        </w:rPr>
        <w:t>: "</w:t>
      </w:r>
      <w:r>
        <w:rPr>
          <w:rFonts w:ascii="Arial" w:hAnsi="Arial" w:cs="Arial"/>
          <w:u w:val="single"/>
          <w:rtl w:val="true"/>
        </w:rPr>
        <w:t>תיק האב</w:t>
      </w:r>
      <w:r>
        <w:rPr>
          <w:rFonts w:cs="Arial" w:ascii="Arial" w:hAnsi="Arial"/>
          <w:u w:val="single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בהתאם לעובדות כתב האישום המתוקן 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 הורשע הנאשם במסגרת הסדר טיעון</w:t>
      </w:r>
      <w:r>
        <w:rPr>
          <w:rFonts w:cs="Calibri" w:ascii="Calibri" w:hAnsi="Calibri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11.05.21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83-501-67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הצומת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אמיניה</w:t>
      </w:r>
      <w:r>
        <w:rPr>
          <w:rtl w:val="true"/>
        </w:rPr>
        <w:t xml:space="preserve">,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קארותשי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השוטרים</w:t>
      </w:r>
      <w:r>
        <w:rPr>
          <w:rtl w:val="true"/>
        </w:rPr>
        <w:t xml:space="preserve">")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מזגזג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בצומת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וולפסון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13969-10-21</w:t>
        </w:r>
      </w:hyperlink>
      <w:r>
        <w:rPr>
          <w:rFonts w:cs="Arial" w:ascii="Arial" w:hAnsi="Arial"/>
          <w:u w:val="single"/>
          <w:rtl w:val="true"/>
        </w:rPr>
        <w:t xml:space="preserve"> (</w:t>
      </w:r>
      <w:r>
        <w:rPr>
          <w:rFonts w:ascii="Arial" w:hAnsi="Arial" w:cs="Arial"/>
          <w:u w:val="single"/>
          <w:rtl w:val="true"/>
        </w:rPr>
        <w:t>להלן</w:t>
      </w:r>
      <w:r>
        <w:rPr>
          <w:rFonts w:cs="Arial" w:ascii="Arial" w:hAnsi="Arial"/>
          <w:u w:val="single"/>
          <w:rtl w:val="true"/>
        </w:rPr>
        <w:t>: "</w:t>
      </w:r>
      <w:r>
        <w:rPr>
          <w:rFonts w:ascii="Arial" w:hAnsi="Arial" w:cs="Arial"/>
          <w:u w:val="single"/>
          <w:rtl w:val="true"/>
        </w:rPr>
        <w:t>תיק הצירוף כא</w:t>
      </w:r>
      <w:r>
        <w:rPr>
          <w:rFonts w:cs="Arial" w:ascii="Arial" w:hAnsi="Arial"/>
          <w:u w:val="single"/>
          <w:rtl w:val="true"/>
        </w:rPr>
        <w:t>/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28.02.20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נפסל רישיון הנהיגה של הנאשם בהחלטת קצין המשטרה אלה כנה אברהם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למשך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09.09.19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פקע רישיון רכב מסוג הונדה ל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83-501-67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הרכב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09.03.20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לרחוב הנפח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10:55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הנאשם ברכב אשר רישיונו פקע מעל שישה 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במעמד 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התבקש הנאשם להציג בפני השוטר יחיאל בוקובזה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השוטר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תעודת זהות ורישיון 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סירב להזדהות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הובהר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יעמוד על סירובו להזדהות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יעוכב על ידי השוטר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סירב לעשות 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הנאשם מעשים להפריע לשוטר למלא תפקידו כחוק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20038-12-21</w:t>
        </w:r>
      </w:hyperlink>
      <w:r>
        <w:rPr>
          <w:rFonts w:cs="Arial" w:ascii="Arial" w:hAnsi="Arial"/>
          <w:u w:val="single"/>
          <w:rtl w:val="true"/>
        </w:rPr>
        <w:t xml:space="preserve"> (</w:t>
      </w:r>
      <w:r>
        <w:rPr>
          <w:rFonts w:ascii="Arial" w:hAnsi="Arial" w:cs="Arial"/>
          <w:u w:val="single"/>
          <w:rtl w:val="true"/>
        </w:rPr>
        <w:t>להלן</w:t>
      </w:r>
      <w:r>
        <w:rPr>
          <w:rFonts w:cs="Arial" w:ascii="Arial" w:hAnsi="Arial"/>
          <w:u w:val="single"/>
          <w:rtl w:val="true"/>
        </w:rPr>
        <w:t>: "</w:t>
      </w:r>
      <w:r>
        <w:rPr>
          <w:rFonts w:ascii="Arial" w:hAnsi="Arial" w:cs="Arial"/>
          <w:u w:val="single"/>
          <w:rtl w:val="true"/>
        </w:rPr>
        <w:t>תיק הצירוף כא</w:t>
      </w:r>
      <w:r>
        <w:rPr>
          <w:rFonts w:cs="Arial" w:ascii="Arial" w:hAnsi="Arial"/>
          <w:u w:val="single"/>
          <w:rtl w:val="true"/>
        </w:rPr>
        <w:t>/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במועדים הרלוונטיים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שימש מר שלומי טובול כפקח בפיקוח העירוני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הפקח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23.09.21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במרכז המסחרי בדימונה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משהבחין הפקח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אינו עוטה מסכה כנדרש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הפקח מהנאשם להזדהות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סרב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והפקח התייצג בפני הנאשם בשמו ותפקידו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מיד בסמוך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לקלל את הפקח ובעודו מניף את ידיו לעבר הפקח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הוסיף ואיים הנאשם על הפקח בפגיעה שלא כדין בגופו באומרו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לך תזדיין שם עליך זין ינעל ראבק מי אתה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תרשום לי דוח תראה מה יהיה 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תרשום לי דוח יקרה לך משהו לא טוב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זאת בכוונה להפחידו או להקניטו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נערך הסדר טיעון במסגרת </w:t>
      </w:r>
      <w:r>
        <w:rPr>
          <w:rFonts w:ascii="Arial" w:hAnsi="Arial" w:cs="Arial"/>
          <w:u w:val="single"/>
          <w:rtl w:val="true"/>
        </w:rPr>
        <w:t>תיק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הודה והורשע בעבירות שבכתב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לא כלל הסכמה 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וההגנה עתרה להפניית הנאשם להערכת שירות המבחן למבוגרים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קבלת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שמיעת פרשת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עתרו הצדדים לצרף לתיק זה את 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ואת 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רישום תעבורתי של הנאשם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2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 </w:t>
      </w:r>
      <w:r>
        <w:rPr>
          <w:rFonts w:eastAsia="David" w:cs="A028 Extrabold;Times New Roman" w:ascii="A028 Extrabold;Times New Roman" w:hAnsi="A028 Extrabold;Times New Roman"/>
          <w:rtl w:val="true"/>
        </w:rPr>
        <w:t>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לחובת הנאשם הרשעות בעבירות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אשר רובן חוזרות ונשנות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כדלקמן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: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נסיעה במהירות העולה על </w:t>
      </w:r>
      <w:r>
        <w:rPr>
          <w:rFonts w:eastAsia="David" w:cs="A028 Extrabold;Times New Roman" w:ascii="A028 Extrabold;Times New Roman" w:hAnsi="A028 Extrabold;Times New Roman"/>
        </w:rPr>
        <w:t>26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ועד </w:t>
      </w:r>
      <w:r>
        <w:rPr>
          <w:rFonts w:eastAsia="David" w:cs="A028 Extrabold;Times New Roman" w:ascii="A028 Extrabold;Times New Roman" w:hAnsi="A028 Extrabold;Times New Roman"/>
        </w:rPr>
        <w:t>40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קמ</w:t>
      </w:r>
      <w:r>
        <w:rPr>
          <w:rFonts w:eastAsia="David"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eastAsia="David" w:cs="A028 Extrabold;Times New Roman"/>
          <w:rtl w:val="true"/>
        </w:rPr>
        <w:t>ש מעל המהירות המותרת בדרך שאינה עירונית עם שטח הפרדה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שלא בכביש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כיסוי או ציפוי שמשת רכב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רישיון רכב פקע פחות משישה חודשים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ברכב לא תקין שהוחלט לאסור את השימוש בו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ברכב שניתנה עליו הודעת אי שימוש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שלא בכיוון החץ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קיפוח זכות השימוש בדרך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עצירת רכב או חלק ממנו על המדרכה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נהג המסיע נוסע לא חגור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מהירות העולה על </w:t>
      </w:r>
      <w:r>
        <w:rPr>
          <w:rFonts w:eastAsia="David" w:cs="A028 Extrabold;Times New Roman" w:ascii="A028 Extrabold;Times New Roman" w:hAnsi="A028 Extrabold;Times New Roman"/>
        </w:rPr>
        <w:t>51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קמ</w:t>
      </w:r>
      <w:r>
        <w:rPr>
          <w:rFonts w:eastAsia="David"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eastAsia="David" w:cs="A028 Extrabold;Times New Roman"/>
          <w:rtl w:val="true"/>
        </w:rPr>
        <w:t>ש מהמהירות המותרת בדרך שאינה עירונית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נסיעה במהירות העולה על </w:t>
      </w:r>
      <w:r>
        <w:rPr>
          <w:rFonts w:eastAsia="David" w:cs="A028 Extrabold;Times New Roman" w:ascii="A028 Extrabold;Times New Roman" w:hAnsi="A028 Extrabold;Times New Roman"/>
        </w:rPr>
        <w:t>41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ועד </w:t>
      </w:r>
      <w:r>
        <w:rPr>
          <w:rFonts w:eastAsia="David" w:cs="A028 Extrabold;Times New Roman" w:ascii="A028 Extrabold;Times New Roman" w:hAnsi="A028 Extrabold;Times New Roman"/>
        </w:rPr>
        <w:t>50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קמ</w:t>
      </w:r>
      <w:r>
        <w:rPr>
          <w:rFonts w:eastAsia="David"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eastAsia="David" w:cs="A028 Extrabold;Times New Roman"/>
          <w:rtl w:val="true"/>
        </w:rPr>
        <w:t>ש מעל המהירות המותרת בדרך שאינה עירונית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מהירות עד </w:t>
      </w:r>
      <w:r>
        <w:rPr>
          <w:rFonts w:eastAsia="David" w:cs="A028 Extrabold;Times New Roman" w:ascii="A028 Extrabold;Times New Roman" w:hAnsi="A028 Extrabold;Times New Roman"/>
        </w:rPr>
        <w:t>25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קמ</w:t>
      </w:r>
      <w:r>
        <w:rPr>
          <w:rFonts w:eastAsia="David"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eastAsia="David" w:cs="A028 Extrabold;Times New Roman"/>
          <w:rtl w:val="true"/>
        </w:rPr>
        <w:t>ש מעל המהירות המותרת בדרך שאינה עירונית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נהג חדש ללא תווי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או שאינה נראי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 לנהג מאחור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רכב לא תקין ללא מתן הודעת אי שימוש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נהיגה במכונה ניידת ללא היתר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נוסע לא חגור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eastAsia="David" w:cs="A028 Extrabold;Times New Roman"/>
          <w:rtl w:val="true"/>
        </w:rPr>
        <w:t>נהג חדש צעיר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פחות מ</w:t>
      </w:r>
      <w:r>
        <w:rPr>
          <w:rFonts w:eastAsia="David" w:cs="A028 Extrabold;Times New Roman" w:ascii="A028 Extrabold;Times New Roman" w:hAnsi="A028 Extrabold;Times New Roman"/>
          <w:rtl w:val="true"/>
        </w:rPr>
        <w:t>-</w:t>
      </w:r>
      <w:r>
        <w:rPr>
          <w:rFonts w:eastAsia="David" w:cs="A028 Extrabold;Times New Roman" w:ascii="A028 Extrabold;Times New Roman" w:hAnsi="A028 Extrabold;Times New Roman"/>
        </w:rPr>
        <w:t>21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שנים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מסיע מעל </w:t>
      </w:r>
      <w:r>
        <w:rPr>
          <w:rFonts w:eastAsia="David" w:cs="A028 Extrabold;Times New Roman" w:ascii="A028 Extrabold;Times New Roman" w:hAnsi="A028 Extrabold;Times New Roman"/>
        </w:rPr>
        <w:t>2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נוסעים ללא מלווה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הכרעת דין וגזר דין </w:t>
      </w:r>
      <w:hyperlink r:id="rId36"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תת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</w:rPr>
          <w:t>1600-04-20</w:t>
        </w:r>
      </w:hyperlink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וכן </w:t>
      </w:r>
      <w:hyperlink r:id="rId37"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תת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ascii="A028 Extrabold;Times New Roman" w:hAnsi="A028 Extrabold;Times New Roman" w:eastAsia="David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David" w:cs="A028 Extrabold;Times New Roman" w:ascii="A028 Extrabold;Times New Roman" w:hAnsi="A028 Extrabold;Times New Roman"/>
            <w:color w:val="0000FF"/>
            <w:u w:val="single"/>
          </w:rPr>
          <w:t>11572-05-21</w:t>
        </w:r>
      </w:hyperlink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מיום </w:t>
      </w:r>
      <w:r>
        <w:rPr>
          <w:rFonts w:eastAsia="David" w:cs="A028 Extrabold;Times New Roman" w:ascii="A028 Extrabold;Times New Roman" w:hAnsi="A028 Extrabold;Times New Roman"/>
        </w:rPr>
        <w:t>06.11.22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 xml:space="preserve">וכן כתב אישום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3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) </w:t>
      </w:r>
      <w:r>
        <w:rPr>
          <w:rFonts w:eastAsia="David" w:cs="A028 Extrabold;Times New Roman" w:ascii="A028 Extrabold;Times New Roman" w:hAnsi="A028 Extrabold;Times New Roman"/>
          <w:rtl w:val="true"/>
        </w:rPr>
        <w:t>–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eastAsia="David" w:cs="A028 Extrabold;Times New Roman"/>
          <w:rtl w:val="true"/>
        </w:rPr>
        <w:t>לחובת הנאשם הרשעה נוספת בעבירה של נהיגה בזמן פסילה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אשר טרם נתווספה לרישום התעבורתי</w:t>
      </w:r>
      <w:r>
        <w:rPr>
          <w:rFonts w:eastAsia="David"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eastAsia="David" w:cs="A028 Extrabold;Times New Roman"/>
          <w:rtl w:val="true"/>
        </w:rPr>
        <w:t>בגין שני תיקים שצורפו</w:t>
      </w:r>
      <w:r>
        <w:rPr>
          <w:rFonts w:eastAsia="David"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028 Extrabold;Times New Roman" w:hAnsi="A028 Extrabold;Times New Roman" w:eastAsia="David" w:cs="A028 Extrabold;Times New Roman"/>
        </w:rPr>
      </w:pPr>
      <w:r>
        <w:rPr>
          <w:rFonts w:ascii="A028 Extrabold;Times New Roman" w:hAnsi="A028 Extrabold;Times New Roman" w:eastAsia="David" w:cs="A028 Extrabold;Times New Roman"/>
          <w:rtl w:val="true"/>
        </w:rPr>
        <w:t xml:space="preserve">תמונת הסכין שהחזיק הנאשם </w:t>
      </w:r>
      <w:r>
        <w:rPr>
          <w:rFonts w:eastAsia="David"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eastAsia="David" w:cs="A028 Extrabold;Times New Roman"/>
          <w:rtl w:val="true"/>
        </w:rPr>
        <w:t>ת</w:t>
      </w:r>
      <w:r>
        <w:rPr>
          <w:rFonts w:eastAsia="David" w:cs="A028 Extrabold;Times New Roman" w:ascii="A028 Extrabold;Times New Roman" w:hAnsi="A028 Extrabold;Times New Roman"/>
          <w:rtl w:val="true"/>
        </w:rPr>
        <w:t>/</w:t>
      </w:r>
      <w:r>
        <w:rPr>
          <w:rFonts w:eastAsia="David" w:cs="A028 Extrabold;Times New Roman" w:ascii="A028 Extrabold;Times New Roman" w:hAnsi="A028 Extrabold;Times New Roman"/>
        </w:rPr>
        <w:t>4</w:t>
      </w:r>
      <w:r>
        <w:rPr>
          <w:rFonts w:eastAsia="David" w:cs="A028 Extrabold;Times New Roman" w:ascii="A028 Extrabold;Times New Roman" w:hAnsi="A028 Extrabold;Times New Roman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לא הגישה ראיות לענין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בענינו של הנאשם הוגש תסקיר המפרט את 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מתגורר בבית הוריו בשבט אבו קרינאת ואינו עובד מזה כשנה לאור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מערכת חיסונית חלשה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מקבל קצבת נכות מהמוסד לביטוח לאומי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לימודיו לא אופיינו בבעיות התנהגות או קשיים לימודיים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הרשעות בתחום הפלילי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תיקים פתוחים בגין עבירות אלימות והפרעה לשוטר בעת מילוי 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עשרות הרשעות קודמות בעבירות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נדון לקנסות ופסילת רישיון נהיגה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ארבעה תיקים פתוחים בגין עבירות נהיגה בזמן פסילה ושימוש בטלפון נייד בזמן נהיגה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לאותם תיקים לגביהם לא הוצגה הכרעת 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ינתן משקל בגזר דין זה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שלל שימוש בסמים או אלכוהול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הופנה לקבוצה טיפולית במסגרת הליך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שיתף פעולה באופן מלא ונכח רק בשלושה מפגשים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ליטול אחריות למעשיו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שלל נזקקות טיפולית והתקשה להציג בעייתיות המצריכה מעורבות טיפולית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הצהרות מילולית מצדו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מוכן להשתתף בהליך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עלה בידו לשלב את הנאשם בהליך טיפולי כלשהו לאור חוסר התאמתו ולאור חוסר בשלות מצדו בשלב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מתאפיין בדפוסים אימפולסיביים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קושי בהפעלת שיקול דעת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צמצום והפחתת הבעייתיות במעשיו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מתקשה לבחון באופן ביקורתי ומעמיק את התנהלותו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מתקשה לשתף בנוגע לעבירות באופן כן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ומתקשה ליטול אחריות ראשונית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לאור כל האמור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 בא שירות המבחן בהמלצה שיקומית בענינו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טיעוניה לעונש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והשלימה אותן על 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בתיק העיקרי ובתיק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הנאשם בערכים המוגנים של ביטחון ציבור משתמשי הדרך וכן בביטחונם של השוטרים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פגע בשלטון החוק ונציגיו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מעשי הנאשם מסוכנים ומלמדים על עזות מצח ובוטות ועמדה על הנזקים הפוטנציאליים ממעשים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נהיגה פוחזת ברכב הינה כמו אחיזה בנשק תוך התעלמות מתוצאות קטלניות העלולות להיגרם בשל 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הנאשם בערכים המוגנים של שמירה על שלוות נפשו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וחירות פעולתו של המאוים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לתיק העיקרי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בפגיעה משמעותית ביותר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בנסיעה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בכביש עירוני עמוס ביותר בטבורה של העיר 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אחר הצהריים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במהלכה העמיד הנאשם את משתמשי הדרך בסכנה של ממש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עקף ניידת משטרה בצורה מסוכנת וגם להם להאטת הניידת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משהפעילו אורות מהבהבים וכרזו לו לעצור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נמלט מהמשטרה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כריזותיהם לעצור</w:t>
      </w:r>
      <w:r>
        <w:rPr>
          <w:rFonts w:cs="Arial" w:ascii="Arial" w:hAnsi="Arial"/>
          <w:rtl w:val="true"/>
        </w:rPr>
        <w:t>; "</w:t>
      </w:r>
      <w:r>
        <w:rPr>
          <w:rFonts w:ascii="Arial" w:hAnsi="Arial" w:cs="Arial"/>
          <w:rtl w:val="true"/>
        </w:rPr>
        <w:t>זיגזג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בין נתיבים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עקף רכבים בפראות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ואף חצה צומת מרומזר באור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שגרם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לו אור 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להאט את מהירות הנסיעה על מנת להימנע מתאונה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כאשר כבר נתפס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ונערך חיפוש ברכבו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נמצאה סכין אשר הוסלקה בריפוד מושב הנוסע הקדמי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המעיד על מחשבה ותכנון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בנוגע לתיקי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בפגיעה משמעותית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שהנאשם מנסה להלך אימים ומפגין התנהגות אלימה ומשפילה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בכדי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עונש מינימום בחוק לצד עבירה שענינה הפרעה לשוטר בעת מילוי 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עתרה למתחמי ענישה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בגין התיק העיקרי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מתחם ענישה הנע 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ענישה הנע בין שבועיים ועד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בדרך של עבודות שירות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ענישה 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בדרך של עבודות שירות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ביקשה לקחת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לחובת הנאשם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בעבירות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במגוון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הפנתה לתסקיר שירות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אינו נוטל אחריות על מעשיו ונכון היה להשתלב בהליך טיפולי רק כדי להקל את תוצאות ההליך המתנהל נגדו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מקום לחרוג ממתחמי הענישה המוצעים על ידה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עתרה למקם את עונשו של הנאשם בשליש התחתון של כל אחד ממתחמי הענישה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להטיל עליו מאסרים מותנים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פסילת רישיון נהיגה בפועל ועל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במצטבר לכל פסילה קיימת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קנס משמעותי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פיצוי למתלונן בתיק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ההגנה</w:t>
      </w:r>
      <w:r>
        <w:rPr>
          <w:rFonts w:ascii="Arial" w:hAnsi="Arial" w:cs="Arial"/>
          <w:rtl w:val="true"/>
        </w:rPr>
        <w:t xml:space="preserve">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בהזדמנות הראשונה ונטל אחריות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התיקים שצירף הם ברף הנמוך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כל תיק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היה לקבל עונש מקל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הנאשם בחר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לנקות שולחן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הצדקה להשית פיצוי לטובת הפקח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שהנאשם לא תקף אותו 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איים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תחת פיקוח אלקטרוני במשך כשמונה חודשים ללא הפרות מצדו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יודע להציב גבולות ומכבד את הוראות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העבירות נעברו 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תקופה לא פשוטה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ביקשה שלא למצות את הדין עם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מסרה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אשת הנאשם בהריון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ועובדת בבית הדין השרעי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אביו ומשפחתו המורחבת משרתים בכוחות הביטחון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רצה להתגייס לצבא ולהיות לוחם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נבצר ממנו לאור בעיות רפואיות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העבירות אינן מאפיינות את אורח חייו של הנאשם והוא מצטער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ומבין ששגה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לקבוע את העונש כמקשה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ועתרה למתחם ענישה אשר תחילתו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ביקשה להתחשב במצבו הכלכלי של הנאשם בעת השתת 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כיוון שהוא מתקיים מקצבת נכות בסך </w:t>
      </w:r>
      <w:r>
        <w:rPr>
          <w:rFonts w:cs="Arial" w:ascii="Arial" w:hAnsi="Arial"/>
        </w:rPr>
        <w:t>2,700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מקום לחיסכון בזמן השיפוטי בכך שהודה הנאשם בשלושת התיקים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בדברו האחרון של הנאשם</w:t>
      </w:r>
      <w:r>
        <w:rPr>
          <w:rFonts w:ascii="Arial" w:hAnsi="Arial" w:cs="Arial"/>
          <w:rtl w:val="true"/>
        </w:rPr>
        <w:t xml:space="preserve">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אשתו בהריון והוא אינו עובד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 בו נעשה שימוש בעבירות שייך לאמו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אביו שירת בצבא שנתיים ומחצה וגם הדודים שלו שירתו בצבא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שעבר הנאשם אינן קלות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אירועי התיק העיקרי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החלו בכך שהנאשם עבר מנתיב נסיעתו לנתיב הנסיעה בו נסעו שוטרים בניידת 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וגרם להם לבלום ולהאט את מהירות הנסיעה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כרזו השוטרים לנאשם לעצור בצד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הנאשם לנהוג בצורה פרועה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שעקף רכבים מימין ומשמאל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גורם להם לבלום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ואינו שועה להוראות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הגדיל וחצה צומת מרומזר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בכיוון נסיעתו דלק אור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מאלץ את נהג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בכיוון נסיעתו דלק אור 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לבלום את 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כאשר הגיע הנאשם לצומת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אותה חצה אוטובוס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נאלץ הנאשם לעצור את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נעצר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נתפסה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מוסלקת בתוך ריפודי המושב שליד הנהג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כבר נאמר לא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כלי רכב בו נוהג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לשמש כשלעצמו כנשק וככלי משחית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נהיגה בכביש </w:t>
      </w:r>
      <w:r>
        <w:rPr>
          <w:rFonts w:ascii="Arial" w:hAnsi="Arial" w:cs="Arial"/>
          <w:u w:val="single"/>
          <w:rtl w:val="true"/>
        </w:rPr>
        <w:t>עירוני</w:t>
      </w:r>
      <w:r>
        <w:rPr>
          <w:rFonts w:ascii="Arial" w:hAnsi="Arial" w:cs="Arial"/>
          <w:rtl w:val="true"/>
        </w:rPr>
        <w:t xml:space="preserve"> באופן כה </w:t>
      </w:r>
      <w:r>
        <w:rPr>
          <w:rFonts w:ascii="Arial" w:hAnsi="Arial" w:cs="Arial"/>
          <w:rtl w:val="true"/>
        </w:rPr>
        <w:t>פרוע ו</w:t>
      </w:r>
      <w:r>
        <w:rPr>
          <w:rFonts w:ascii="Arial" w:hAnsi="Arial" w:cs="Arial"/>
          <w:rtl w:val="true"/>
        </w:rPr>
        <w:t>מסוכן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נסיעה בצורה שאילצה רכבים </w:t>
      </w:r>
      <w:r>
        <w:rPr>
          <w:rFonts w:ascii="Arial" w:hAnsi="Arial" w:cs="Arial"/>
          <w:rtl w:val="true"/>
        </w:rPr>
        <w:t>לבלום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עקיפה פראית מימן ומשמאל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חציית צומת מרומזר באור אדום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</w:t>
      </w:r>
      <w:r>
        <w:rPr>
          <w:rFonts w:ascii="Arial" w:hAnsi="Arial" w:cs="Arial"/>
          <w:rtl w:val="true"/>
        </w:rPr>
        <w:t xml:space="preserve"> אלה יוצרים פוטנציאל לפגיעה קשה ואנושה בחייהם של משתמשים תמימים בדרך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קטילתם וקיפוח חייהם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עבירה גוררת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פעל תוך זלזול בוטה בגורמי אכיפת החוק ואף </w:t>
      </w:r>
      <w:r>
        <w:rPr>
          <w:rFonts w:ascii="Arial" w:hAnsi="Arial" w:cs="Arial"/>
          <w:rtl w:val="true"/>
        </w:rPr>
        <w:t>העמיד בסכנה של ממש את משתמשי הדרך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דברי בית המשפט העליון ברע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color w:val="000000"/>
        </w:rPr>
        <w:t>10476/09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סביח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המבקש הורשע בשרשרת עבירות חמורות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שיצרו סכנה לציבור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 xml:space="preserve">צודק בית המשפט המחוזי בהזכירו את הכלל </w:t>
      </w:r>
      <w:r>
        <w:rPr>
          <w:rFonts w:cs="Aharoni" w:ascii="Aharoni" w:hAnsi="Aharoni"/>
          <w:rtl w:val="true"/>
        </w:rPr>
        <w:t>"</w:t>
      </w:r>
      <w:r>
        <w:rPr>
          <w:rFonts w:ascii="Aharoni" w:hAnsi="Aharoni" w:cs="Aharoni"/>
          <w:rtl w:val="true"/>
        </w:rPr>
        <w:t>עבירה גוררת עבירה</w:t>
      </w:r>
      <w:r>
        <w:rPr>
          <w:rFonts w:cs="Aharoni" w:ascii="Aharoni" w:hAnsi="Aharoni"/>
          <w:rtl w:val="true"/>
        </w:rPr>
        <w:t xml:space="preserve">" </w:t>
      </w:r>
      <w:r>
        <w:rPr>
          <w:rFonts w:ascii="Aharoni" w:hAnsi="Aharoni" w:cs="Aharoni"/>
          <w:rtl w:val="true"/>
        </w:rPr>
        <w:t>ביחס להתנהגותו של המבקש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התנהגות זו תחילתה בנהיגה ללא רישיון נהיגה בלב עיר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אמצעה בהתעלמות מקריאות שוטר לעצור וסופה בחצית צומת באור אדום ובניגוד לכיוון התנועה ובביצוע פניית פרסה תוך עקיפת כלי רכב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בדרך נהיגה זו גרם המבקש לכלי רכב לסטות ממסלולם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משנה חומרה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נעברו בכוונה להימלט מאימת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שהנאשם </w:t>
      </w:r>
      <w:r>
        <w:rPr>
          <w:rFonts w:ascii="Arial" w:hAnsi="Arial" w:cs="Arial"/>
          <w:rtl w:val="true"/>
        </w:rPr>
        <w:t>מנסה לברוח</w:t>
      </w:r>
      <w:r>
        <w:rPr>
          <w:rFonts w:ascii="Arial" w:hAnsi="Arial" w:cs="Arial"/>
          <w:rtl w:val="true"/>
        </w:rPr>
        <w:t xml:space="preserve"> מניידת 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הוא מחזיק ברכבו </w:t>
      </w:r>
      <w:r>
        <w:rPr>
          <w:rFonts w:ascii="Arial" w:hAnsi="Arial" w:cs="Arial"/>
          <w:rtl w:val="true"/>
        </w:rPr>
        <w:t>בסכין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כאשר הוא יודע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הדבר </w:t>
      </w:r>
      <w:r>
        <w:rPr>
          <w:rFonts w:ascii="Arial" w:hAnsi="Arial" w:cs="Arial"/>
          <w:rtl w:val="true"/>
        </w:rPr>
        <w:t xml:space="preserve">לבטח </w:t>
      </w:r>
      <w:r>
        <w:rPr>
          <w:rFonts w:ascii="Arial" w:hAnsi="Arial" w:cs="Arial"/>
          <w:rtl w:val="true"/>
        </w:rPr>
        <w:t>יסתיים במעצרו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להחזקת הסכין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אף לעבירה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לקטילת 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1964/14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שימשילשווילי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haroni" w:hAnsi="Aharoni" w:cs="Aharoni"/>
          <w:spacing w:val="10"/>
          <w:sz w:val="20"/>
        </w:rPr>
      </w:pPr>
      <w:r>
        <w:rPr>
          <w:rFonts w:ascii="Aharoni" w:hAnsi="Aharoni" w:cs="Aharoni"/>
          <w:spacing w:val="10"/>
          <w:sz w:val="20"/>
          <w:sz w:val="20"/>
          <w:rtl w:val="true"/>
        </w:rPr>
        <w:t>נטילת סכין היא פעולה שתחילתה ברורה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אך בהמשך מובילה לאירועים שקשה לחזות ואינם נושאים טובה לאף אחד מן המעורבים באירוע</w:t>
      </w:r>
      <w:r>
        <w:rPr>
          <w:rFonts w:cs="Aharoni" w:ascii="Aharoni" w:hAnsi="Aharoni"/>
          <w:spacing w:val="10"/>
          <w:sz w:val="20"/>
          <w:rtl w:val="true"/>
        </w:rPr>
        <w:t xml:space="preserve">. </w:t>
      </w:r>
      <w:r>
        <w:rPr>
          <w:rFonts w:ascii="Aharoni" w:hAnsi="Aharoni" w:cs="Aharoni"/>
          <w:spacing w:val="10"/>
          <w:sz w:val="20"/>
          <w:sz w:val="20"/>
          <w:rtl w:val="true"/>
        </w:rPr>
        <w:t>החברה בישראל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ובית המשפט בכלל זה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אינה יכולה להשלים עם תופעות אלה</w:t>
      </w:r>
      <w:r>
        <w:rPr>
          <w:rFonts w:cs="Aharoni" w:ascii="Aharoni" w:hAnsi="Aharoni"/>
          <w:spacing w:val="10"/>
          <w:sz w:val="20"/>
          <w:rtl w:val="true"/>
        </w:rPr>
        <w:t xml:space="preserve">, </w:t>
      </w:r>
      <w:r>
        <w:rPr>
          <w:rFonts w:ascii="Aharoni" w:hAnsi="Aharoni" w:cs="Aharoni"/>
          <w:spacing w:val="10"/>
          <w:sz w:val="20"/>
          <w:sz w:val="20"/>
          <w:rtl w:val="true"/>
        </w:rPr>
        <w:t>ומצווה לעוקרן מן השורש</w:t>
      </w:r>
      <w:r>
        <w:rPr>
          <w:rFonts w:cs="Aharoni" w:ascii="Aharoni" w:hAnsi="Aharoni"/>
          <w:spacing w:val="10"/>
          <w:sz w:val="2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10"/>
          <w:sz w:val="20"/>
        </w:rPr>
      </w:pPr>
      <w:r>
        <w:rPr>
          <w:rFonts w:cs="Arial" w:ascii="Arial" w:hAnsi="Arial"/>
          <w:spacing w:val="10"/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הפגין הנאשם זלזול בוטה בגורמי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בכך שהפריע לשוטר במילוי תפקידו כאשר ביקש לעכבו בגין נהיגה ללא רישיון רכב בתוקף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אם בכך שהשמיע גידופים ואיומים כלפי פקח עירוני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ביקש ממנו להזדהות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ואיים עליו על מנת שלא ירשום לו דוח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95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האיום הוא אפוא ביטוי שהמשפט מטיל עליו מגבלות תוך פגיעה בחופש הביטוי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וזאת כדי להגן על ערכים אחרים ובהם שלוות נפשו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ביטחונו וחירות פעולתו של הפרט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האיום מסכן את חירות פעולתו של הפרט שכן פעמים רבות האיום כרוך גם בצפייה להתנהגות מסוימת מצד המאוים שהמאיים מבקש להשיג באמצעות השמעת האיום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להלן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תובא סקירה של מדיניות הענישה הנוהגת בעבירות דומות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42548-04-23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 עלאוין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המערער הורשע בעבירות של סיוע לסחר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נהיגה פוחזת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הגיע למקום על מנת לספק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הבין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מולו ניצב סוכן סמוי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במהירות מופרזת בתוך העיר באר שבע תוך שהוא ממשיך להכות את השוטר שברכבו ואיים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60102-11-18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אלטרשאן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בעבירות של נהיגה פוחזת ברכב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לא נשמע להוראות שוטרים לעצור בצד והאיץ מהירותו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שגרם לניידת משטרה לסטות לדרך עפר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הנאשם על השוטר בתחנת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בבאר שבע קבע מתחם ענישה הנע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וגזר על הנאשם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ופסילת רישיון נהיגה בפועל למשך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על רכיב המאסר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ורכיב הפסילה צומצם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11059-04-15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כף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בעבירות של נהיגה פוחזת ברכב והפרעה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ברח משוטרים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ציית להוראות השוטרים לעצור בצד והמשיך בנסיעה פראית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מותב זה קבע מתחם ענישה הנע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וגזר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פסילת רישיון נהיגה בפועל למשך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פסילת רישיון נהיגה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ערעורו לבית המשפט המחוזי על חומרת העונש </w:t>
      </w:r>
      <w:r>
        <w:rPr>
          <w:rFonts w:ascii="Arial" w:hAnsi="Arial" w:cs="Arial"/>
          <w:u w:val="single"/>
          <w:rtl w:val="true"/>
        </w:rPr>
        <w:t>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התערבות מסוימת בשיעור הקנס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hyperlink r:id="rId4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52377-07-22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אחמד עווד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ascii="David" w:hAnsi="David" w:eastAsia="David"/>
          <w:rtl w:val="true"/>
        </w:rPr>
        <w:t>– המערער הורשע בעבירות של כניסה לישראל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הפרעה לשוטר במילוי תפקידו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נהיגה פוחזת של רכב ונהיגה ללא רישיון נהיגה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מותב זה קבע מתחם ענישה הנע בין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עד </w:t>
      </w:r>
      <w:r>
        <w:rPr>
          <w:rFonts w:eastAsia="David" w:cs="David" w:ascii="David" w:hAnsi="David"/>
        </w:rPr>
        <w:t>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והטיל על הנאשם </w:t>
      </w:r>
      <w:r>
        <w:rPr>
          <w:rFonts w:eastAsia="David" w:cs="David" w:ascii="David" w:hAnsi="David"/>
        </w:rPr>
        <w:t>32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הפעלת מאסרים מותנים כך שירצה הנאשם </w:t>
      </w:r>
      <w:r>
        <w:rPr>
          <w:rFonts w:eastAsia="David" w:cs="David" w:ascii="David" w:hAnsi="David"/>
        </w:rPr>
        <w:t>33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מאסר על תנאי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קנס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הפעלת התחייבות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פסילת רישיון נהיגה בפועל למשך 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הפעלת פסילת רישיון נהיגה על תנאי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כך שסך הכל ירצה הנאשם פסילה בפועל בת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פסילה על תנאי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ערעורו לבית המשפט המחוזי נדחה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למעט בנוגע לרכיב הקנס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66369-06-20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מדיעם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בעבירות של נהיגה פוחזת ברכב והפרעה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בבאר שבע קבע מתחם ענישה הנע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נהיגה בפועל ועל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בכתבי אישום המתארים עבירות ממאטריות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נעברו בפרקי זמן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מנתקים את הקשר בין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ממש בעתירת התביעה לקבוע מתחמי ענישה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לתיק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הפגיעה המשמעותית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בהקשר של נהיגה פוחזת והן בהקשר של החזקת סכין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כך שבניגוד למקרים אחרים בהם הורשעו נאשמים בעבירה של נהיגה פוחזת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בנסיעה קצרה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מספר צמתים לאורך כביש רב נתיבי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עמוסה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יקבע בית המשפט מתחם ענישה הנע בין עונש מאסר בפועל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התעוזה שהפגין הנאשם והזלזול הבוטה בגורמי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ולצד זה שנהג ברכב ללא רישיון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חסד עשתה המאשימה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ייעתר בית המשפט למתחם הענישה אליו עתרה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שינוע בין שבועיים ועד ששה חודשים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לתיק הצירוף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הפגין הנאשם זלזול בוטה בגורמי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מאיים על פקח עירוני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למנוע ממנו לרשום לו דוח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מוצא לקבוע מתחם ענישה הנע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בראיית כלל המקרים בגינם עומד הנאשם לדין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יקבע בית המשפט מתחם 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שינוע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קביעת הענישה הספציפית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שלושת 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בגינם נותן הנאשם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מעידים על כשל ערכי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יחסו המזלזל כלפי החוק ונציגיו וכן זלזול בחוקי התעבורה ובשלומם של עוברי הדרך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אין הרשעות פליליות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בעבירות תעבורה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הרשעותיו הרבות בעבירות התעבורה השונות מלמדות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הלך והסלים התנהגותו הפרועה עד לכדי נהיגה פוחזת בלב העיר באר 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בידו לקפח חיי 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מעיון בתסקיר שירות המבחן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שלל צורך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נוטל אחריות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ונוטה לצמצם ולמזער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לבחון את דפוסיו המכשילים ונמנע מלשתף פעולה עם שירות המבחן למבוגרים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למבוגרים על ענישה מוחשית ומרתיעה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תוך כדי היותו של הנאשם ממתין לגזר דינו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 שוב והוגשה נגדו בקשה למעצר עד תום ההליכים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משלא הובאה לעיון בית המשפט הכרעת דין בגין עבירות נוספות אלה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אין בידי בית המשפט ליתן להן משקל בגזר דין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תבוא הודאתו באשמה וכן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צירף כלל התיקים התלויים ועומדים נגדו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ניקוי השולחן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שערך הנאשם תוך הודאה ונטילת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במישור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ובהתאם להלכה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לפיה בית המשפט אינו ממצה את הדין במאסר ראשון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מטים את הכף לכיוון ענישה על הצד הנמוך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ההקלה שניתנה לנאשם תתאזן בדרך של הטלת רכיבי ענישה נוספים משמעותיים ומרתיעים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ישית על הנאשם עונשי מאסר מותנה במנעד 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שיכללו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במטריות השונות בהן הסתבך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שיידע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הסתבכות נוספת בעבירות דומות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תחייב השתת עונשים חמורים עוד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רואה בית המשפט להשית עונש פסילת רישיון נהיגה למשך תקופה משמעותית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 בעיון במוצגי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המלמדים על הרשעות רבות בעבירות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הרשעתו זו בעבירה של נהיגה פוחזת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כדי ללמד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 xml:space="preserve">נאשם זה מסכן </w:t>
      </w:r>
      <w:r>
        <w:rPr>
          <w:rFonts w:ascii="Arial" w:hAnsi="Arial" w:cs="Arial"/>
          <w:rtl w:val="true"/>
        </w:rPr>
        <w:t xml:space="preserve">באופן משמעותי ביותר </w:t>
      </w:r>
      <w:r>
        <w:rPr>
          <w:rFonts w:ascii="Arial" w:hAnsi="Arial" w:cs="Arial"/>
          <w:rtl w:val="true"/>
        </w:rPr>
        <w:t xml:space="preserve">את עוברי הדרך ויש </w:t>
      </w:r>
      <w:r>
        <w:rPr>
          <w:rFonts w:ascii="Arial" w:hAnsi="Arial" w:cs="Arial"/>
          <w:rtl w:val="true"/>
        </w:rPr>
        <w:t>להרחיקו מנסיעה בכביש למשך תקופה לא מבוטלת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 מספר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במהלכן יהיה בידו להפנים את חומרת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בית המשפט להרים את תרומתו לביעור הסיכון של הקטל בכבישים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נגרם על ידי מי שאינו משווה לנגד עיניו את החובה לציית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את קדושת חייהם של המשתמשים בדרך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עונשי</w:t>
      </w:r>
      <w:r>
        <w:rPr>
          <w:rFonts w:ascii="Arial" w:hAnsi="Arial" w:cs="Arial"/>
          <w:rtl w:val="true"/>
        </w:rPr>
        <w:t xml:space="preserve"> פסילה</w:t>
      </w:r>
      <w:r>
        <w:rPr>
          <w:rFonts w:ascii="Arial" w:hAnsi="Arial" w:cs="Arial"/>
          <w:rtl w:val="true"/>
        </w:rPr>
        <w:t xml:space="preserve"> משמעותיים שיהיה בהם כדי להרתיע את היחיד ואת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די ברטוריקה ויש להטיל עונשים בעולם המעשה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חרף טענות ההגנה בנוגע למצבו הכלכלי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אין מנוס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מהשתת עיצומים כספיים מרתיעים בדמות קנס וכן פיצוי לפקח ולשוטר הנפגעים בכתבי האישום 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לאחר שבית המשפט שמע טענות הצדדים</w:t>
      </w:r>
      <w:r>
        <w:rPr>
          <w:rFonts w:ascii="Arial" w:hAnsi="Arial" w:cs="Arial"/>
          <w:rtl w:val="true"/>
        </w:rPr>
        <w:t xml:space="preserve"> על פה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בטיעוני התביעה בכתב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בראיות לענין העונש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בתסקיר שירות המבחן למבוגרים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עיין בפסיקה שהוגשה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ושמע דברו האחרון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גוזר עליו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</w:t>
      </w:r>
      <w:r>
        <w:rPr>
          <w:rFonts w:ascii="Arial" w:hAnsi="Arial" w:cs="Arial"/>
          <w:u w:val="single"/>
          <w:rtl w:val="true"/>
        </w:rPr>
        <w:t>בתיק זה בלבד</w:t>
      </w:r>
      <w:r>
        <w:rPr>
          <w:rFonts w:ascii="Arial" w:hAnsi="Arial" w:cs="Arial"/>
          <w:rtl w:val="true"/>
        </w:rPr>
        <w:t xml:space="preserve"> בהתאם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– שלא יעבור עבירה בניגוד ל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hyperlink r:id="rId46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hyperlink r:id="rId47">
        <w:r>
          <w:rPr>
            <w:rStyle w:val="Hyperlink"/>
            <w:rFonts w:cs="Arial" w:ascii="Arial" w:hAnsi="Arial"/>
          </w:rPr>
          <w:t>338</w:t>
        </w:r>
      </w:hyperlink>
      <w:r>
        <w:rPr>
          <w:rFonts w:cs="Arial" w:ascii="Arial" w:hAnsi="Arial"/>
          <w:color w:val="000000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– שלא יעבור עבירה בניגוד 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hyperlink r:id="rId4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</w:rPr>
          <w:t>144</w:t>
        </w:r>
      </w:hyperlink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– שלא יעבור עבירה בניגוד 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hyperlink r:id="rId52">
        <w:r>
          <w:rPr>
            <w:rStyle w:val="Hyperlink"/>
            <w:rFonts w:ascii="Arial" w:hAnsi="Arial" w:cs="Arial"/>
            <w:rtl w:val="true"/>
          </w:rPr>
          <w:t>פרק ט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סימן ג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color w:val="000000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עבירות בניגוד לסעיפים </w:t>
      </w:r>
      <w:hyperlink r:id="rId53">
        <w:r>
          <w:rPr>
            <w:rStyle w:val="Hyperlink"/>
            <w:rFonts w:cs="Arial" w:ascii="Arial" w:hAnsi="Arial"/>
          </w:rPr>
          <w:t>288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cs="Arial" w:ascii="Arial" w:hAnsi="Arial"/>
          </w:rPr>
          <w:t>288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 xml:space="preserve">',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 xml:space="preserve">',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לאותו חוק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– שלא יעבור עבירה בניגוד </w:t>
      </w:r>
      <w:r>
        <w:rPr>
          <w:rtl w:val="true"/>
        </w:rPr>
        <w:t>ל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–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סעיפים </w:t>
      </w:r>
      <w:hyperlink r:id="rId55"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cs="Arial" w:ascii="Arial" w:hAnsi="Arial"/>
          </w:rPr>
          <w:t>10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cs="Arial" w:ascii="Arial" w:hAnsi="Arial"/>
          </w:rPr>
          <w:t>67</w:t>
        </w:r>
        <w:r>
          <w:rPr>
            <w:rStyle w:val="Hyperlink"/>
            <w:rFonts w:cs="Arial" w:ascii="Arial" w:hAnsi="Arial"/>
            <w:rtl w:val="true"/>
          </w:rPr>
          <w:t>;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 xml:space="preserve">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>.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01.08.24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01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tl w:val="true"/>
        </w:rPr>
        <w:t>;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028 Extrabold">
    <w:altName w:val="Times New Roman"/>
    <w:charset w:val="00" w:characterSet="windows-1252"/>
    <w:family w:val="auto"/>
    <w:pitch w:val="variable"/>
  </w:font>
  <w:font w:name="Aharoni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28730-05-21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בן קאמל אבו עשיבה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620607" TargetMode="External"/><Relationship Id="rId3" Type="http://schemas.openxmlformats.org/officeDocument/2006/relationships/hyperlink" Target="http://www.nevo.co.il/case/27945229" TargetMode="External"/><Relationship Id="rId4" Type="http://schemas.openxmlformats.org/officeDocument/2006/relationships/hyperlink" Target="http://www.nevo.co.il/case/281628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288" TargetMode="External"/><Relationship Id="rId12" Type="http://schemas.openxmlformats.org/officeDocument/2006/relationships/hyperlink" Target="http://www.nevo.co.il/law/70301/288.a." TargetMode="External"/><Relationship Id="rId13" Type="http://schemas.openxmlformats.org/officeDocument/2006/relationships/hyperlink" Target="http://www.nevo.co.il/law/70301/332" TargetMode="External"/><Relationship Id="rId14" Type="http://schemas.openxmlformats.org/officeDocument/2006/relationships/hyperlink" Target="http://www.nevo.co.il/law/70301/338" TargetMode="External"/><Relationship Id="rId15" Type="http://schemas.openxmlformats.org/officeDocument/2006/relationships/hyperlink" Target="http://www.nevo.co.il/law/70301/338.a.1" TargetMode="External"/><Relationship Id="rId16" Type="http://schemas.openxmlformats.org/officeDocument/2006/relationships/hyperlink" Target="http://www.nevo.co.il/law/70301/382.a." TargetMode="External"/><Relationship Id="rId17" Type="http://schemas.openxmlformats.org/officeDocument/2006/relationships/hyperlink" Target="http://www.nevo.co.il/law/70301/iCcS" TargetMode="External"/><Relationship Id="rId18" Type="http://schemas.openxmlformats.org/officeDocument/2006/relationships/hyperlink" Target="http://www.nevo.co.il/law/74274" TargetMode="External"/><Relationship Id="rId19" Type="http://schemas.openxmlformats.org/officeDocument/2006/relationships/hyperlink" Target="http://www.nevo.co.il/law/74274/22.a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5227/2" TargetMode="External"/><Relationship Id="rId22" Type="http://schemas.openxmlformats.org/officeDocument/2006/relationships/hyperlink" Target="http://www.nevo.co.il/law/5227/10" TargetMode="External"/><Relationship Id="rId23" Type="http://schemas.openxmlformats.org/officeDocument/2006/relationships/hyperlink" Target="http://www.nevo.co.il/law/5227/67" TargetMode="External"/><Relationship Id="rId24" Type="http://schemas.openxmlformats.org/officeDocument/2006/relationships/hyperlink" Target="http://www.nevo.co.il/law/70301/186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8.a.1" TargetMode="External"/><Relationship Id="rId27" Type="http://schemas.openxmlformats.org/officeDocument/2006/relationships/hyperlink" Target="http://www.nevo.co.il/law/70301/275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4274/22.a" TargetMode="External"/><Relationship Id="rId30" Type="http://schemas.openxmlformats.org/officeDocument/2006/relationships/hyperlink" Target="http://www.nevo.co.il/law/74274" TargetMode="External"/><Relationship Id="rId31" Type="http://schemas.openxmlformats.org/officeDocument/2006/relationships/hyperlink" Target="http://www.nevo.co.il/law/5227/2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case/27620607" TargetMode="External"/><Relationship Id="rId34" Type="http://schemas.openxmlformats.org/officeDocument/2006/relationships/hyperlink" Target="http://www.nevo.co.il/case/27945229" TargetMode="External"/><Relationship Id="rId35" Type="http://schemas.openxmlformats.org/officeDocument/2006/relationships/hyperlink" Target="http://www.nevo.co.il/case/28162801" TargetMode="External"/><Relationship Id="rId36" Type="http://schemas.openxmlformats.org/officeDocument/2006/relationships/hyperlink" Target="http://www.nevo.co.il/case/26578757" TargetMode="External"/><Relationship Id="rId37" Type="http://schemas.openxmlformats.org/officeDocument/2006/relationships/hyperlink" Target="http://www.nevo.co.il/case/27657359" TargetMode="External"/><Relationship Id="rId38" Type="http://schemas.openxmlformats.org/officeDocument/2006/relationships/hyperlink" Target="http://www.nevo.co.il/case/17030490" TargetMode="External"/><Relationship Id="rId39" Type="http://schemas.openxmlformats.org/officeDocument/2006/relationships/hyperlink" Target="http://www.nevo.co.il/case/5808394" TargetMode="External"/><Relationship Id="rId40" Type="http://schemas.openxmlformats.org/officeDocument/2006/relationships/hyperlink" Target="http://www.nevo.co.il/case/29608697" TargetMode="External"/><Relationship Id="rId41" Type="http://schemas.openxmlformats.org/officeDocument/2006/relationships/hyperlink" Target="http://www.nevo.co.il/case/25177757" TargetMode="External"/><Relationship Id="rId42" Type="http://schemas.openxmlformats.org/officeDocument/2006/relationships/hyperlink" Target="http://www.nevo.co.il/case/20162361" TargetMode="External"/><Relationship Id="rId43" Type="http://schemas.openxmlformats.org/officeDocument/2006/relationships/hyperlink" Target="http://www.nevo.co.il/case/28802271" TargetMode="External"/><Relationship Id="rId44" Type="http://schemas.openxmlformats.org/officeDocument/2006/relationships/hyperlink" Target="http://www.nevo.co.il/case/26795580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32" TargetMode="External"/><Relationship Id="rId47" Type="http://schemas.openxmlformats.org/officeDocument/2006/relationships/hyperlink" Target="http://www.nevo.co.il/law/70301/338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86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iCcS" TargetMode="External"/><Relationship Id="rId53" Type="http://schemas.openxmlformats.org/officeDocument/2006/relationships/hyperlink" Target="http://www.nevo.co.il/law/70301/288;288.a.;382.a.;192" TargetMode="External"/><Relationship Id="rId54" Type="http://schemas.openxmlformats.org/officeDocument/2006/relationships/hyperlink" Target="http://www.nevo.co.il/law/5227" TargetMode="External"/><Relationship Id="rId55" Type="http://schemas.openxmlformats.org/officeDocument/2006/relationships/hyperlink" Target="http://www.nevo.co.il/law/5227/2;10;67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2024-05-19T12:07:00Z</dcterms:created>
  <dc:creator> </dc:creator>
  <dc:description/>
  <cp:keywords/>
  <dc:language>en-IL</dc:language>
  <cp:lastModifiedBy>h1</cp:lastModifiedBy>
  <dcterms:modified xsi:type="dcterms:W3CDTF">2024-05-19T12:07:00Z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בן קאמל אבו עשיבה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ProcID=174&amp;PartA=10476&amp;PartC=09</vt:lpwstr>
  </property>
  <property fmtid="{D5CDD505-2E9C-101B-9397-08002B2CF9AE}" pid="9" name="CASESLISTTMP1">
    <vt:lpwstr>27620607:2;27945229:2;28162801:2;26578757;27657359;17030490;5808394;29608697;25177757;20162361;28802271;26795580</vt:lpwstr>
  </property>
  <property fmtid="{D5CDD505-2E9C-101B-9397-08002B2CF9AE}" pid="10" name="CITY">
    <vt:lpwstr>ב"ש</vt:lpwstr>
  </property>
  <property fmtid="{D5CDD505-2E9C-101B-9397-08002B2CF9AE}" pid="11" name="DATE">
    <vt:lpwstr>20240516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רון סולקין</vt:lpwstr>
  </property>
  <property fmtid="{D5CDD505-2E9C-101B-9397-08002B2CF9AE}" pid="15" name="LAWLISTTMP1">
    <vt:lpwstr>70301/186.a;338.a.1;275;192:2;332;338;186;144;iCcS;288;288.a;382.a</vt:lpwstr>
  </property>
  <property fmtid="{D5CDD505-2E9C-101B-9397-08002B2CF9AE}" pid="16" name="LAWLISTTMP2">
    <vt:lpwstr>74274/022.a</vt:lpwstr>
  </property>
  <property fmtid="{D5CDD505-2E9C-101B-9397-08002B2CF9AE}" pid="17" name="LAWLISTTMP3">
    <vt:lpwstr>5227/002:2;010;067</vt:lpwstr>
  </property>
  <property fmtid="{D5CDD505-2E9C-101B-9397-08002B2CF9AE}" pid="18" name="LAWYER">
    <vt:lpwstr>גנית אטיאס;מוטי יוסף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28730;13969;20038</vt:lpwstr>
  </property>
  <property fmtid="{D5CDD505-2E9C-101B-9397-08002B2CF9AE}" pid="25" name="NEWPARTB">
    <vt:lpwstr>05;10;12</vt:lpwstr>
  </property>
  <property fmtid="{D5CDD505-2E9C-101B-9397-08002B2CF9AE}" pid="26" name="NEWPARTC">
    <vt:lpwstr>21;21;21</vt:lpwstr>
  </property>
  <property fmtid="{D5CDD505-2E9C-101B-9397-08002B2CF9AE}" pid="27" name="NEWPROC">
    <vt:lpwstr>תפ;תפ;תפ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380020240516</vt:lpwstr>
  </property>
  <property fmtid="{D5CDD505-2E9C-101B-9397-08002B2CF9AE}" pid="37" name="TYPE_N_DATE">
    <vt:lpwstr>38020240516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