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28898-12-12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יעלה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רהיטי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איכות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Cs w:val="28"/>
              </w:rPr>
              <w:t>2008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מספר בקשה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  <w:r>
              <w:rPr/>
              <w:t>1</w:t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מחלקה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אמנו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בלישה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יעלה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רהיטי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2008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רהיטים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216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4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">
        <w:r>
          <w:rPr>
            <w:rStyle w:val="Hyperlink"/>
            <w:rFonts w:cs="David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224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והשלישי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8,500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29,000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29,000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נקלעה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כינוס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קריסתו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שבכוונתי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0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1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שציינתי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לקולא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הודאה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המחדלים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</w:t>
      </w:r>
      <w:r>
        <w:rPr>
          <w:rFonts w:cs="David"/>
          <w:rtl w:val="true"/>
        </w:rPr>
        <w:t>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לחומרא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רציפות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מהשנים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18,000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1.7.14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15,000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הכנסה</w:t>
        </w:r>
      </w:hyperlink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</w:t>
      </w:r>
      <w:bookmarkStart w:id="8" w:name="_GoBack"/>
      <w:bookmarkEnd w:id="8"/>
      <w:r>
        <w:rPr>
          <w:rFonts w:cs="David"/>
          <w:rtl w:val="true"/>
        </w:rPr>
        <w:t>ים</w:t>
      </w:r>
      <w:r>
        <w:rPr>
          <w:rFonts w:cs="David"/>
          <w:rtl w:val="true"/>
        </w:rPr>
        <w:t xml:space="preserve">. </w:t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הכנסה</w:t>
        </w:r>
      </w:hyperlink>
      <w:r>
        <w:rPr>
          <w:rFonts w:cs="David"/>
          <w:rtl w:val="true"/>
        </w:rPr>
        <w:t>.</w:t>
      </w:r>
    </w:p>
    <w:p>
      <w:pPr>
        <w:pStyle w:val="BodyText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cs="David" w:ascii="David" w:hAnsi="David"/>
        <w:color w:val="000000"/>
        <w:sz w:val="22"/>
        <w:szCs w:val="22"/>
        <w:rtl w:val="true"/>
      </w:rPr>
    </w:r>
  </w:p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cs="David" w:ascii="David" w:hAnsi="David"/>
        <w:color w:val="000000"/>
        <w:sz w:val="22"/>
        <w:szCs w:val="22"/>
        <w:rtl w:val="true"/>
      </w:rPr>
    </w:r>
  </w:p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28898-12-12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בלישה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2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h" TargetMode="External"/><Relationship Id="rId7" Type="http://schemas.openxmlformats.org/officeDocument/2006/relationships/hyperlink" Target="http://www.nevo.co.il/law/84255/216.4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24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2014-10-26T14:47:00Z</dcterms:created>
  <dc:creator> </dc:creator>
  <dc:description/>
  <cp:keywords/>
  <dc:language>en-IL</dc:language>
  <cp:lastModifiedBy>orit</cp:lastModifiedBy>
  <dcterms:modified xsi:type="dcterms:W3CDTF">2014-10-26T14:47:00Z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ישראל;רשות המיסים ירושלים מחלקה פלילית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בלישה;יעלה רהיטי איכות (2008)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20140525</vt:lpwstr>
  </property>
  <property fmtid="{D5CDD505-2E9C-101B-9397-08002B2CF9AE}" pid="10" name="DELEMATA">
    <vt:lpwstr/>
  </property>
  <property fmtid="{D5CDD505-2E9C-101B-9397-08002B2CF9AE}" pid="11" name="JUDGE">
    <vt:lpwstr>הישאם אבו שחאדה</vt:lpwstr>
  </property>
  <property fmtid="{D5CDD505-2E9C-101B-9397-08002B2CF9AE}" pid="12" name="LAWLISTTMP1">
    <vt:lpwstr>84255/216.4;224</vt:lpwstr>
  </property>
  <property fmtid="{D5CDD505-2E9C-101B-9397-08002B2CF9AE}" pid="13" name="LAWLISTTMP2">
    <vt:lpwstr>70301/040h</vt:lpwstr>
  </property>
  <property fmtid="{D5CDD505-2E9C-101B-9397-08002B2CF9AE}" pid="14" name="LAWYER">
    <vt:lpwstr>אמנו;ברקאי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28898</vt:lpwstr>
  </property>
  <property fmtid="{D5CDD505-2E9C-101B-9397-08002B2CF9AE}" pid="21" name="NEWPARTB">
    <vt:lpwstr>12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380020140525</vt:lpwstr>
  </property>
  <property fmtid="{D5CDD505-2E9C-101B-9397-08002B2CF9AE}" pid="33" name="TYPE_N_DATE">
    <vt:lpwstr>38020140525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