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28916-05-21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ברק לקס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פלוני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גיל תן עמי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ממשרד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פורר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192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הודה בעובדות כתב האישום המתוקן במסגרת הסדר טיעון והורשע</w:t>
      </w:r>
      <w:r>
        <w:rPr>
          <w:rFonts w:ascii="David" w:hAnsi="David"/>
          <w:rtl w:val="true"/>
        </w:rPr>
        <w:t xml:space="preserve"> בעבירות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שמופרטות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תיקון כתב האישום המקורי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נותרו בכתב האישום המתוקן האישום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הראשון והאישום השלישי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הייתה הסכמה בין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הצדדים לגבי העונש והצדדים טענו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לעונש באופן פתוח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היה נשוי למתלוננת במשך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במועדים הרלוונטיים לכתב האישום המתוקן הם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היו פרודים ומצויים בהליכי גירושין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ABSTRACT_END"/>
      <w:bookmarkEnd w:id="9"/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בביצוע עבירת איומים לפי </w:t>
      </w:r>
      <w:hyperlink r:id="rId4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1.5.21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בשעה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20:37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שלח הנאשם הודעה קולית באמצעות תוכנת הוואטסאפ מהנייד שלו לנייד המתלוננת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 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אני אראה לך איך אני מזיין אותך בתחת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תזכרי את המילים של יעקב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תזכרי את המילים של יעקב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תזכרי מה אמרתי עכשיו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תראי איך אני מזיין אותך בתחת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היום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בהמשך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21:06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 הנאשם למתלוננת הודעה נוספת בה 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 xml:space="preserve">בת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שרמוטה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יא זונה אחת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יא מזדיינת בתחת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אני שם זין עלייך ועל המשטרה ועל פלוני  ועל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כולם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כל המשטרה יא בת זונה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יא שרמוטה אחת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יא בת זונה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אני אזיין אותך בתחת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יא בת שרמוטה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אראה לך עם מי לשחק יא בת זונה יא שרמוטה אחת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יא מזדיינת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בואי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בואי רק תצאי מהבית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בואי תהיי בחורה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תצאי מהבית יא מזדיינת אחת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אני אאנוס את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אמא שלך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אאנוס יא בת של שרמוטה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יא בת זונה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בביצוען של ארבע עבירות של איומים לפי </w:t>
      </w:r>
      <w:hyperlink r:id="rId6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חוק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ab/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25.3.21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שלח הנאשם הודעות קוליות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באמצעות תוכנת הוואטסאפ אל הטלפון הנייד של המתלוננת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רשם הנאשם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למתלוננת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אני רוצח אותך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רוצח אותך יא זונה אחת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ארצח אותך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רוצח אותך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אני ארצח אותך יא בת זונה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ארצח אותך יא בת זונה אני ארצח אותך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אני ארצח את אמא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שלך הזונה הזאתי השרמוטה הזאתי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רשם הנאשם למתלוננת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 xml:space="preserve">את אמא שלך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הזונה הזאת יא בת שרמוטה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ארצח אותך יא בת זונה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ארצח אותך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יא בת זונה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יא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מזדיינת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ארצח אותך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רשם הנאשם למתלוננת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בת זונה אני ארצח אותך יא בת שרמוטה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סכינים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בראש אני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במוח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אדקור אותך במוח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אגמור איתך את הסיפור הזה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יא בת זונה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יא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שרמוטה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שהילדים שלך יישארו בלי אבא ובלי אמא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יא בת שרמוטה מזדיינת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אני ארצח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אותך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ארצח אותך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ארצח אותך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יא בת זונה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ארצח אותך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אני ארצח אותך למוות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יא בת זונה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ארצח אותך למוות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ארצח אותך למוות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יא בת שרמוטה אני ארצח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אותך</w:t>
      </w:r>
      <w:r>
        <w:rPr>
          <w:rFonts w:cs="Arial" w:ascii="Arial" w:hAnsi="Arial"/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התקבלו שני תסקירים מטעם שירות המבחן ולהלן עיקריהם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נמצא בשנות הארבעים לחייו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 לארבעה ילדים קטינים בגילים של שנה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משלוש מערכות יחסים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לחובתו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הרשעות קודמות בעבירות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סמים ואלימות וריצה בגינן מאסרים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בתקופת נעוריו החלו הסתבכויותיו של הנאשם בפלילים לרבות צריכת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בוצעו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בדיקות שתן עבור הנאשם במסגרת שירות המבחן ונמצאו נקיות משרידי סם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נשלח על ידי שירות המבחן למרכז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בית נועם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לטיפול בגברים שנהגו  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באלימות כלפי בנות זוגן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לא הגיע לכל המפגשים ובכל פעם שהייתה לו           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מחויבות אחרת הוא העדיף את המחויבות האחרת על חשבון המפגש הטיפולי ובשלב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מסוים הטיפול הופסק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לסיכום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סבור כי בהיעדר הירתמות מטעם הנאשם להליך טיפולי</w:t>
      </w:r>
      <w:r>
        <w:rPr>
          <w:rFonts w:cs="Arial" w:ascii="Arial" w:hAnsi="Arial"/>
          <w:rtl w:val="true"/>
        </w:rPr>
        <w:t xml:space="preserve">,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קיים סיכון להישנות התנהגות אלימה דומה בעתיד ושהסיכון להישנות עבירות לא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פחת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בא בהמלצה שיקומית טיפולית בעניינו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איים שידקור את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יאנוס אותה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ירצח אותה וירצח את אמה</w:t>
      </w:r>
      <w:r>
        <w:rPr>
          <w:rFonts w:cs="Arial" w:ascii="Arial" w:hAnsi="Arial"/>
          <w:rtl w:val="true"/>
        </w:rPr>
        <w:t xml:space="preserve">.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מדובר במלל חמור וקשה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לחובתו של הנאשם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הרשעתו קודמות בין היתר    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אלימות ורכוש וריצה בגינן מאסרים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לנאשם גם מאסר על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תנאי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שיש להפעילו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יש לראות בעבירות המתוארות בכתב האישום כאירוע אחד ומתחם העונש ההולם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לגבי כל העבירות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עברו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החזרתיות במעשיו ועמדת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סבורה שיש למקם את הנאשם ברף העליון של המתחם ועתרה להשית עליו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הפעלת המאסר המותנה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ופיצוי למתלוננת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יש לקחת בחשבון את השיקולים לקולא בעניינו של הנאשם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הוא בן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שנה ואב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לארבעה ילדים קטינים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הודה בכתב האישום המתוקן וחסך בזמן שיפוטי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נטל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אחריות והביע חרטה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נרתם להליך טיפולי בבית נועם למשך ארבעה חודשים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חלוף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הזמן מאז ביצוע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בדיקות השתן שעבר ויצאו כולן נקיות משרידי סם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לגבי העבירות מושא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האיומים בוצעו באמצעות הודעות טלפון ולא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פנים מול פנים או בהודעות קוליות ויש לתת את הדעת על 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לקחת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בחשבון את סמיכות הזמנים בין כל הודעה והודעה ולכן לעניין העונש יש להשקיף על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ריבוי ההודעות כאירוע איומים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על אף הרשעתו בהסכמתו בריבוי עבירות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מתחם העונש ההולם והעונש שלהם עתרה המאשימה אינו עולה בקנה אחד עם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 כוח הנאשם סבור שזה מקרה ראוי למאסר שירוצה בדרך של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אביא </w:t>
      </w:r>
      <w:r>
        <w:rPr>
          <w:rFonts w:ascii="David" w:hAnsi="David"/>
          <w:rtl w:val="true"/>
        </w:rPr>
        <w:t>להלן מספר דוגמאות</w:t>
      </w:r>
      <w:r>
        <w:rPr>
          <w:rFonts w:ascii="David" w:hAnsi="David"/>
          <w:rtl w:val="true"/>
        </w:rPr>
        <w:t xml:space="preserve"> מפסיקתו של בית המשפט העליון</w:t>
      </w:r>
      <w:r>
        <w:rPr>
          <w:rFonts w:ascii="David" w:hAnsi="David"/>
          <w:rtl w:val="true"/>
        </w:rPr>
        <w:t xml:space="preserve"> למדיניות הענישה הנוהגת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בעבירות שבהן הורשע הנאשם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8353/22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אגבאריה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11.12.22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בבית משפט השלום בשלוש עבירות של איומים כנגד בת זוגו וכן הורשע בביצוע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עבירה של נהיגה בזמן פסילה </w:t>
      </w:r>
      <w:r>
        <w:rPr>
          <w:rFonts w:ascii="David" w:hAnsi="David"/>
          <w:u w:val="single"/>
          <w:rtl w:val="true"/>
        </w:rPr>
        <w:t xml:space="preserve">ונגזרו עליו </w:t>
      </w:r>
      <w:r>
        <w:rPr>
          <w:rFonts w:cs="David" w:ascii="David" w:hAnsi="David"/>
          <w:u w:val="single"/>
        </w:rPr>
        <w:t>9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ערעורו לבית המשפט המחוזי נדחה וכן נדחתה בקשת רשות ערעור שהוגשה לבית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5608/23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דדון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27.7.23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בבית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משפט השלום בשני עבירות של איומים כנגד גרושתו </w:t>
      </w:r>
      <w:r>
        <w:rPr>
          <w:rFonts w:ascii="David" w:hAnsi="David"/>
          <w:u w:val="single"/>
          <w:rtl w:val="true"/>
        </w:rPr>
        <w:t xml:space="preserve">ונגזרו עליו </w:t>
      </w:r>
      <w:r>
        <w:rPr>
          <w:rFonts w:cs="David" w:ascii="David" w:hAnsi="David"/>
          <w:u w:val="single"/>
        </w:rPr>
        <w:t>9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u w:val="single"/>
          <w:rtl w:val="true"/>
        </w:rPr>
        <w:t>בפועל שירוצו בדרך של עבודות שירות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המשפט המחוזי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נדחה וכן נדחה 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7561/23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 עוקבי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19.10.23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בבית משפט השלום בביצוע עבירת איומים כנגד גרושתו </w:t>
      </w:r>
      <w:r>
        <w:rPr>
          <w:rFonts w:ascii="David" w:hAnsi="David"/>
          <w:u w:val="single"/>
          <w:rtl w:val="true"/>
        </w:rPr>
        <w:t xml:space="preserve">ונגזרו עליו </w:t>
      </w:r>
      <w:r>
        <w:rPr>
          <w:rFonts w:cs="David" w:ascii="David" w:hAnsi="David"/>
          <w:u w:val="single"/>
        </w:rPr>
        <w:t>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u w:val="single"/>
          <w:rtl w:val="true"/>
        </w:rPr>
        <w:t xml:space="preserve">בפועל שירוצו בדרך של עבודות שירות </w:t>
      </w:r>
      <w:r>
        <w:rPr>
          <w:rFonts w:ascii="David" w:hAnsi="David"/>
          <w:rtl w:val="true"/>
        </w:rPr>
        <w:t>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המשפט המחוזי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נדחה וכן נדחה בקשת רשות ערעור שהוגשה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08</w:t>
      </w:r>
      <w:r>
        <w:rPr>
          <w:rFonts w:cs="David" w:ascii="David" w:hAnsi="David"/>
          <w:rtl w:val="true"/>
        </w:rPr>
        <w:t>\</w:t>
      </w:r>
      <w:r>
        <w:rPr>
          <w:rFonts w:cs="David" w:ascii="David" w:hAnsi="David"/>
        </w:rPr>
        <w:t>1293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קורניק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25.6.08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בעבירת איומים אחת בכך </w:t>
      </w:r>
      <w:r>
        <w:rPr>
          <w:rFonts w:ascii="David" w:hAnsi="David"/>
          <w:rtl w:val="true"/>
        </w:rPr>
        <w:t xml:space="preserve">שאיים על בת זוגו והושתו עליו 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</w:t>
      </w:r>
      <w:r>
        <w:rPr>
          <w:rFonts w:ascii="David" w:hAnsi="David"/>
          <w:rtl w:val="true"/>
        </w:rPr>
        <w:t>למכלול העבירות</w:t>
      </w:r>
      <w:r>
        <w:rPr>
          <w:rFonts w:ascii="David" w:hAnsi="David"/>
          <w:rtl w:val="true"/>
        </w:rPr>
        <w:t xml:space="preserve"> שבהן הורשע הנאשם נע בין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חודשי מאסר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cs="David" w:ascii="David" w:hAnsi="David"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וזאת בצירוף מאסר על תנאי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 ופיצוי למתלונ</w:t>
      </w:r>
      <w:r>
        <w:rPr>
          <w:rFonts w:ascii="David" w:hAnsi="David"/>
          <w:rtl w:val="true"/>
        </w:rPr>
        <w:t>נת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הנתונים הבאים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אב לארבע ילדים קטינים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הודאתו של הנאשם וחסכון בזמן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שיפוטי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לקיחת אחריות והבעת חרטה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עברו הפלילי של הנאשם</w:t>
      </w:r>
      <w:r>
        <w:rPr>
          <w:rFonts w:ascii="David" w:hAnsi="David"/>
          <w:rtl w:val="true"/>
        </w:rPr>
        <w:t xml:space="preserve"> שכולל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הרשעות קודמות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סמים ורכוש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נתון משמעותי לחומרא הוא הרשעתו בשנת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בבית משפט השלום ברמלה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במסגרת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58463-03-16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מדובר בכתב אישום מתוקן הכולל מספר רב של אירועים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בעבירות של איומים והטרדה באמצעות מתקן בזק כלפי בת זוג קודמת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ביצע קרוב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התקשרויות והודעות טלפוניות מהטלפון הנייד שלו לזה של המתלוננת בהן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איים בבוטות שיפגע בגופה וירצח אותה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ערעורו לבית המשפט המחוזי נדחה וכן נדחתה בקשת רשות ערעור שהגיש לבית המשפט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העליון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בשל אותה הרשעה תלוי ועומד כנגדו מאסר על תנאי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שיש להפעילו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בתיק שבפני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עינינו הרואות שדפוס ההתנהגות הקודם שבו הנאשם שולח הודעות כתובות לבת זוג מסוימת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כוונתו לפגוע בגופה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לשלול את חייה ולפגוע באנשים הקרובים 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דפוס חוזר ונשנה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אצלו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עונש המאסר בפועל שהושת עליו בתיק הקודם וגם עונש המאסר המותנה שניתן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כנגדו לא הרתיעו אותו מלחזור על אותו דפוס התנהגות בדיוק עם בת זוג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היא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המתלוננת בפניי כעת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במילים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הרשעתו הקודמת של הנאשם בתחום האיומים כלפי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בת זוג תוך שימוש בטלפון נייד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נתון משמעותי שמצריך להחמיר בעונשו וגם להפעיל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המאסר המותנה במצטבר ולא בחופף</w:t>
      </w:r>
      <w:r>
        <w:rPr>
          <w:rFonts w:cs="David" w:ascii="David" w:hAnsi="David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בניכוי ימי מעצרו מיום </w:t>
      </w:r>
      <w:r>
        <w:rPr>
          <w:rFonts w:cs="David" w:ascii="David" w:hAnsi="David"/>
        </w:rPr>
        <w:t>7.5.21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11.5.21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הנני מפעיל את המאסר המותנה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שהוטל עליו ב</w:t>
      </w:r>
      <w:r>
        <w:rPr>
          <w:rFonts w:cs="David" w:ascii="David" w:hAnsi="David"/>
          <w:rtl w:val="true"/>
        </w:rPr>
        <w:t xml:space="preserve">-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58463-03-16</w:t>
        </w:r>
      </w:hyperlink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>של בית משפט השלום ב</w:t>
      </w:r>
      <w:r>
        <w:rPr>
          <w:rFonts w:ascii="David" w:hAnsi="David"/>
          <w:rtl w:val="true"/>
        </w:rPr>
        <w:t xml:space="preserve">רמלה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17.</w:t>
      </w:r>
      <w:r>
        <w:rPr>
          <w:rFonts w:cs="David" w:ascii="David" w:hAnsi="David"/>
        </w:rPr>
        <w:t>9</w:t>
      </w:r>
      <w:r>
        <w:rPr>
          <w:rFonts w:cs="David" w:ascii="David" w:hAnsi="David"/>
        </w:rPr>
        <w:t>.2018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במצטבר לעונש שהושת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הנאשם ירצה סך הכל </w:t>
      </w:r>
      <w:r>
        <w:rPr>
          <w:rFonts w:cs="David" w:ascii="David" w:hAnsi="David"/>
          <w:u w:val="single"/>
        </w:rPr>
        <w:t>16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בפועל בניכוי </w:t>
      </w:r>
      <w:r>
        <w:rPr>
          <w:rFonts w:ascii="David" w:hAnsi="David"/>
          <w:u w:val="single"/>
          <w:rtl w:val="true"/>
        </w:rPr>
        <w:t xml:space="preserve">ימי מעצרו מיום </w:t>
      </w:r>
      <w:r>
        <w:rPr>
          <w:rFonts w:cs="David" w:ascii="David" w:hAnsi="David"/>
          <w:u w:val="single"/>
        </w:rPr>
        <w:t>7.5.21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ascii="David" w:hAnsi="David"/>
          <w:u w:val="single"/>
          <w:rtl w:val="true"/>
        </w:rPr>
        <w:t xml:space="preserve">יום </w:t>
      </w:r>
      <w:r>
        <w:rPr>
          <w:rFonts w:cs="David" w:ascii="David" w:hAnsi="David"/>
          <w:u w:val="single"/>
        </w:rPr>
        <w:t>11.5.21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ממועד שחרורו הנאשם לא        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יבצע עביר</w:t>
      </w:r>
      <w:r>
        <w:rPr>
          <w:rFonts w:ascii="David" w:hAnsi="David"/>
          <w:rtl w:val="true"/>
        </w:rPr>
        <w:t>ת 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ישלם למתלונ</w:t>
      </w:r>
      <w:r>
        <w:rPr>
          <w:rFonts w:ascii="David" w:hAnsi="David"/>
          <w:rtl w:val="true"/>
        </w:rPr>
        <w:t>נת</w:t>
      </w:r>
      <w:r>
        <w:rPr>
          <w:rFonts w:ascii="David" w:hAnsi="David"/>
          <w:rtl w:val="true"/>
        </w:rPr>
        <w:t xml:space="preserve"> עד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תביעה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פיצוי בסך של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הפיצוי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1.4.24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והתשלום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השני עד ליום </w:t>
      </w:r>
      <w:r>
        <w:rPr>
          <w:rFonts w:cs="David" w:ascii="David" w:hAnsi="David"/>
        </w:rPr>
        <w:t>1.5.24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היה </w:t>
      </w:r>
      <w:r>
        <w:rPr>
          <w:rFonts w:ascii="David" w:hAnsi="David"/>
          <w:rtl w:val="true"/>
        </w:rPr>
        <w:t xml:space="preserve">והתשלום הראשון </w:t>
      </w:r>
      <w:r>
        <w:rPr>
          <w:rFonts w:ascii="David" w:hAnsi="David"/>
          <w:rtl w:val="true"/>
        </w:rPr>
        <w:t>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אזי יעמוד מלוא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סכום הפיצוי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28916-05-21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9196585" TargetMode="External"/><Relationship Id="rId9" Type="http://schemas.openxmlformats.org/officeDocument/2006/relationships/hyperlink" Target="http://www.nevo.co.il/case/29855426" TargetMode="External"/><Relationship Id="rId10" Type="http://schemas.openxmlformats.org/officeDocument/2006/relationships/hyperlink" Target="http://www.nevo.co.il/case/30156967" TargetMode="External"/><Relationship Id="rId11" Type="http://schemas.openxmlformats.org/officeDocument/2006/relationships/hyperlink" Target="http://www.nevo.co.il/case/21060440" TargetMode="External"/><Relationship Id="rId12" Type="http://schemas.openxmlformats.org/officeDocument/2006/relationships/hyperlink" Target="http://www.nevo.co.il/case/21060440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2024-02-11T14:01:00Z</dcterms:created>
  <dc:creator> </dc:creator>
  <dc:description/>
  <cp:keywords/>
  <dc:language>en-IL</dc:language>
  <cp:lastModifiedBy>h1</cp:lastModifiedBy>
  <dcterms:modified xsi:type="dcterms:W3CDTF">2024-02-11T14:01:00Z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29196585;29855426;30156967;21060440:2</vt:lpwstr>
  </property>
  <property fmtid="{D5CDD505-2E9C-101B-9397-08002B2CF9AE}" pid="9" name="CITY">
    <vt:lpwstr>רמ'</vt:lpwstr>
  </property>
  <property fmtid="{D5CDD505-2E9C-101B-9397-08002B2CF9AE}" pid="10" name="DATE">
    <vt:lpwstr>20240206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70301/192:2</vt:lpwstr>
  </property>
  <property fmtid="{D5CDD505-2E9C-101B-9397-08002B2CF9AE}" pid="15" name="LAWYER">
    <vt:lpwstr>ברק לקס;גיל תן עמי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28916</vt:lpwstr>
  </property>
  <property fmtid="{D5CDD505-2E9C-101B-9397-08002B2CF9AE}" pid="22" name="NEWPARTB">
    <vt:lpwstr>05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380020240206</vt:lpwstr>
  </property>
  <property fmtid="{D5CDD505-2E9C-101B-9397-08002B2CF9AE}" pid="34" name="TYPE_N_DATE">
    <vt:lpwstr>38020240206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