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29014-10-11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ועותמאן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30019-01-12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222" w:type="dxa"/>
        <w:jc w:val="start"/>
        <w:tblInd w:w="44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46"/>
        <w:gridCol w:w="3827"/>
        <w:gridCol w:w="3449"/>
      </w:tblGrid>
      <w:tr>
        <w:trPr/>
        <w:tc>
          <w:tcPr>
            <w:tcW w:w="4773" w:type="dxa"/>
            <w:gridSpan w:val="2"/>
            <w:tcBorders/>
          </w:tcPr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בפני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כב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מ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גלעד</w:t>
            </w:r>
          </w:p>
        </w:tc>
        <w:tc>
          <w:tcPr>
            <w:tcW w:w="3449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946" w:type="dxa"/>
            <w:tcBorders/>
          </w:tcPr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sz w:val="24"/>
                <w:szCs w:val="26"/>
                <w:rtl w:val="true"/>
              </w:rPr>
              <w:t>:</w:t>
            </w:r>
          </w:p>
        </w:tc>
        <w:tc>
          <w:tcPr>
            <w:tcW w:w="3827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פמ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שגב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אדלר</w:t>
            </w:r>
          </w:p>
        </w:tc>
        <w:tc>
          <w:tcPr>
            <w:tcW w:w="3449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946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3827" w:type="dxa"/>
            <w:tcBorders/>
          </w:tcPr>
          <w:p>
            <w:pPr>
              <w:pStyle w:val="Style11"/>
              <w:spacing w:lineRule="auto" w:line="48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3449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946" w:type="dxa"/>
            <w:tcBorders/>
          </w:tcPr>
          <w:p>
            <w:pPr>
              <w:pStyle w:val="Style11"/>
              <w:snapToGrid w:val="false"/>
              <w:spacing w:lineRule="auto" w:line="480"/>
              <w:ind w:end="121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3827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מחמד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בכרי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סאלח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בכרי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עותמאן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בכרי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                        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אחמד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בכרי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כולם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ששון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בר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עוז</w:t>
            </w:r>
          </w:p>
        </w:tc>
        <w:tc>
          <w:tcPr>
            <w:tcW w:w="3449" w:type="dxa"/>
            <w:tcBorders/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sz w:val="24"/>
                <w:sz w:val="24"/>
                <w:szCs w:val="26"/>
                <w:rtl w:val="true"/>
              </w:rPr>
              <w:t>הנאשמים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6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6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6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6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6"/>
                </w:rPr>
                <w:t>29014-10-11</w:t>
              </w:r>
            </w:hyperlink>
          </w:p>
          <w:p>
            <w:pPr>
              <w:pStyle w:val="Style11"/>
              <w:spacing w:lineRule="auto" w:line="240"/>
              <w:ind w:end="0"/>
              <w:jc w:val="both"/>
              <w:rPr>
                <w:rStyle w:val="Hyperlink"/>
              </w:rPr>
            </w:pPr>
            <w:hyperlink r:id="rId3">
              <w:r>
                <w:rPr>
                  <w:rtl w:val="true"/>
                </w:rPr>
              </w:r>
            </w:hyperlink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hyperlink r:id="rId4">
              <w:r>
                <w:rPr>
                  <w:rStyle w:val="Hyperlink"/>
                  <w:sz w:val="24"/>
                  <w:sz w:val="24"/>
                  <w:szCs w:val="26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6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6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6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6"/>
                </w:rPr>
                <w:t>30019-01-12</w:t>
              </w:r>
            </w:hyperlink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10" w:name="PsakDin"/>
      <w:bookmarkStart w:id="11" w:name="PsakDin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Cs/>
          <w:sz w:val="32"/>
          <w:szCs w:val="32"/>
          <w:lang w:val="en-IL" w:eastAsia="en-IL"/>
        </w:rPr>
      </w:pPr>
      <w:bookmarkStart w:id="12" w:name="PsakDin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 ד</w:t>
      </w:r>
      <w:bookmarkEnd w:id="12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ין</w:t>
      </w:r>
      <w:r>
        <w:rPr>
          <w:rFonts w:ascii="Arial" w:hAnsi="Arial" w:cs="Arial"/>
          <w:bCs/>
          <w:sz w:val="32"/>
          <w:sz w:val="32"/>
          <w:szCs w:val="32"/>
          <w:rtl w:val="true"/>
        </w:rPr>
        <w:t xml:space="preserve"> לגבי נאשמים </w:t>
      </w:r>
      <w:r>
        <w:rPr>
          <w:rFonts w:cs="Arial" w:ascii="Arial" w:hAnsi="Arial"/>
          <w:bCs/>
          <w:sz w:val="32"/>
          <w:szCs w:val="32"/>
        </w:rPr>
        <w:t>1</w:t>
      </w:r>
      <w:r>
        <w:rPr>
          <w:rFonts w:cs="Arial" w:ascii="Arial" w:hAnsi="Arial"/>
          <w:bCs/>
          <w:sz w:val="32"/>
          <w:szCs w:val="32"/>
          <w:rtl w:val="true"/>
        </w:rPr>
        <w:t xml:space="preserve">, </w:t>
      </w:r>
      <w:r>
        <w:rPr>
          <w:rFonts w:cs="Arial" w:ascii="Arial" w:hAnsi="Arial"/>
          <w:bCs/>
          <w:sz w:val="32"/>
          <w:szCs w:val="32"/>
        </w:rPr>
        <w:t>2</w:t>
      </w:r>
      <w:r>
        <w:rPr>
          <w:rFonts w:cs="Arial" w:ascii="Arial" w:hAnsi="Arial"/>
          <w:bCs/>
          <w:sz w:val="32"/>
          <w:szCs w:val="32"/>
          <w:rtl w:val="true"/>
        </w:rPr>
        <w:t xml:space="preserve"> </w:t>
      </w:r>
      <w:r>
        <w:rPr>
          <w:rFonts w:ascii="Arial" w:hAnsi="Arial" w:cs="Arial"/>
          <w:bCs/>
          <w:sz w:val="32"/>
          <w:sz w:val="32"/>
          <w:szCs w:val="32"/>
          <w:rtl w:val="true"/>
        </w:rPr>
        <w:t>ו</w:t>
      </w:r>
      <w:r>
        <w:rPr>
          <w:rFonts w:cs="Arial" w:ascii="Arial" w:hAnsi="Arial"/>
          <w:bCs/>
          <w:sz w:val="32"/>
          <w:szCs w:val="32"/>
          <w:rtl w:val="true"/>
        </w:rPr>
        <w:t xml:space="preserve">- </w:t>
      </w:r>
      <w:r>
        <w:rPr>
          <w:rFonts w:cs="Arial" w:ascii="Arial" w:hAnsi="Arial"/>
          <w:bCs/>
          <w:sz w:val="32"/>
          <w:szCs w:val="32"/>
        </w:rPr>
        <w:t>3</w:t>
      </w:r>
    </w:p>
    <w:p>
      <w:pPr>
        <w:pStyle w:val="Normal"/>
        <w:spacing w:lineRule="exact" w:line="240" w:before="0" w:after="120"/>
        <w:ind w:hanging="283" w:start="283" w:end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 w:val="32"/>
          <w:szCs w:val="32"/>
          <w:rtl w:val="true"/>
        </w:rPr>
        <w:t xml:space="preserve">גזר דין חלקי לגבי נאשם </w:t>
      </w:r>
      <w:r>
        <w:rPr>
          <w:rFonts w:cs="Arial" w:ascii="Arial" w:hAnsi="Arial"/>
          <w:bCs/>
          <w:sz w:val="32"/>
          <w:szCs w:val="32"/>
        </w:rPr>
        <w:t>4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/>
          <w:sz w:val="32"/>
          <w:szCs w:val="32"/>
        </w:rPr>
      </w:pPr>
      <w:r>
        <w:rPr>
          <w:rFonts w:cs="FrankRuehl" w:ascii="FrankRuehl" w:hAnsi="FrankRuehl"/>
          <w:bCs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334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4">
        <w:r>
          <w:rPr>
            <w:rStyle w:val="Hyperlink"/>
            <w:rFonts w:ascii="FrankRuehl" w:hAnsi="FrankRuehl" w:cs="FrankRuehl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</w:rPr>
          <w:t>39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center"/>
        <w:rPr>
          <w:rFonts w:ascii="FrankRuehl" w:hAnsi="FrankRuehl" w:cs="FrankRuehl"/>
          <w:bCs/>
          <w:sz w:val="32"/>
          <w:szCs w:val="32"/>
        </w:rPr>
      </w:pPr>
      <w:r>
        <w:rPr>
          <w:rFonts w:cs="FrankRuehl" w:ascii="FrankRuehl" w:hAnsi="FrankRuehl"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Cs w:val="28"/>
        </w:rPr>
      </w:pPr>
      <w:r>
        <w:rPr>
          <w:rFonts w:cs="FrankRuehl" w:ascii="FrankRuehl" w:hAnsi="FrankRuehl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כלל</w:t>
      </w:r>
      <w:r>
        <w:rPr>
          <w:szCs w:val="28"/>
          <w:rtl w:val="true"/>
        </w:rPr>
        <w:t>י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פוצלה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נפרדים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30019-01-12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אחמד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29014-10-11</w:t>
        </w:r>
      </w:hyperlink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>", "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עותמאן</w:t>
      </w:r>
      <w:r>
        <w:rPr>
          <w:sz w:val="28"/>
          <w:szCs w:val="28"/>
          <w:rtl w:val="true"/>
        </w:rPr>
        <w:t>").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bookmarkStart w:id="13" w:name="ABSTRACT_START"/>
      <w:bookmarkEnd w:id="13"/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29014-10-11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23.10.11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30019-01-12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16.1.12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לבקשתם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המשותפת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במשותף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שנשמעה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במשפטם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29014-10-11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ועבדאללה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29014-10-11</w:t>
      </w:r>
      <w:r>
        <w:rPr>
          <w:sz w:val="28"/>
          <w:szCs w:val="28"/>
          <w:rtl w:val="true"/>
        </w:rPr>
        <w:t>, "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בשנית</w:t>
      </w:r>
      <w:r>
        <w:rPr>
          <w:sz w:val="28"/>
          <w:szCs w:val="28"/>
          <w:rtl w:val="true"/>
        </w:rPr>
        <w:t xml:space="preserve">" - 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b/>
          <w:bCs/>
          <w:sz w:val="28"/>
          <w:szCs w:val="28"/>
          <w:rtl w:val="true"/>
        </w:rPr>
        <w:t>/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30019-01-12</w:t>
        </w:r>
      </w:hyperlink>
      <w:r>
        <w:rPr>
          <w:sz w:val="28"/>
          <w:szCs w:val="28"/>
          <w:rtl w:val="true"/>
        </w:rPr>
        <w:t>, "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sz w:val="28"/>
          <w:szCs w:val="28"/>
          <w:rtl w:val="true"/>
        </w:rPr>
        <w:t xml:space="preserve">" </w:t>
      </w:r>
      <w:r>
        <w:rPr>
          <w:rFonts w:eastAsia="David" w:ascii="David" w:hAnsi="David"/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b/>
          <w:bCs/>
          <w:sz w:val="28"/>
          <w:szCs w:val="28"/>
          <w:rtl w:val="true"/>
        </w:rPr>
        <w:t>/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5.2.12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תעתור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ופיצויים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28/3/12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כרמיאל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3.5.12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המתלוננים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ראשיד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עבדאללה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ראשיד</w:t>
      </w:r>
      <w:r>
        <w:rPr>
          <w:sz w:val="28"/>
          <w:szCs w:val="28"/>
          <w:rtl w:val="true"/>
        </w:rPr>
        <w:t>", "</w:t>
      </w:r>
      <w:r>
        <w:rPr>
          <w:sz w:val="28"/>
          <w:sz w:val="28"/>
          <w:szCs w:val="28"/>
          <w:rtl w:val="true"/>
        </w:rPr>
        <w:t>עבדאללה</w:t>
      </w:r>
      <w:r>
        <w:rPr>
          <w:sz w:val="28"/>
          <w:szCs w:val="28"/>
          <w:rtl w:val="true"/>
        </w:rPr>
        <w:t>", "</w:t>
      </w:r>
      <w:r>
        <w:rPr>
          <w:sz w:val="28"/>
          <w:sz w:val="28"/>
          <w:szCs w:val="28"/>
          <w:rtl w:val="true"/>
        </w:rPr>
        <w:t>חסן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עלי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נתגלע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בחלקת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בבענה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2.10.11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18:00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6"/>
          <w:szCs w:val="26"/>
        </w:rPr>
        <w:t>M-16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ושאר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וכשנזעקו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ארצה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ואשפוז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בקרסול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ימין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עבדאללה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דימום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ובברך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וחתך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עליונה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ברגלו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פולקסוואגן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פאסאט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פגע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אחורנית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ברגליים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בצוותא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חמורה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333</w:t>
        </w:r>
      </w:hyperlink>
      <w:r>
        <w:rPr>
          <w:sz w:val="28"/>
          <w:szCs w:val="28"/>
          <w:rtl w:val="true"/>
        </w:rPr>
        <w:t xml:space="preserve"> + </w:t>
      </w:r>
      <w:hyperlink r:id="rId34">
        <w:r>
          <w:rPr>
            <w:rStyle w:val="Hyperlink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("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>");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נשיאת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והחזקתו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37"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פציעה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334</w:t>
        </w:r>
      </w:hyperlink>
      <w:r>
        <w:rPr>
          <w:sz w:val="28"/>
          <w:szCs w:val="28"/>
          <w:rtl w:val="true"/>
        </w:rPr>
        <w:t xml:space="preserve"> + </w:t>
      </w:r>
      <w:hyperlink r:id="rId40">
        <w:r>
          <w:rPr>
            <w:rStyle w:val="Hyperlink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41">
        <w:r>
          <w:rPr>
            <w:rStyle w:val="Hyperlink"/>
            <w:color w:val="0000FF"/>
            <w:sz w:val="28"/>
            <w:szCs w:val="28"/>
            <w:u w:val="single"/>
          </w:rPr>
          <w:t>29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תרופתי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60%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טשטש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תדמית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1997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התכנון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והבניה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1986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79" w:end="1134"/>
        <w:jc w:val="both"/>
        <w:rPr>
          <w:rFonts w:cs="Miriam"/>
        </w:rPr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קוגניטיביות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תקינות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הצטייר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למילוי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אינסטרומנטליים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ילדיו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בקורותיו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קונקרטי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התרשמנו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פתוח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ועסוק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תדמית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וקורבנית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לבעיתיות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שבהתנהגותו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שמתוארת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ומכחיש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Miriam"/>
          <w:rtl w:val="true"/>
        </w:rPr>
        <w:t xml:space="preserve">. </w:t>
      </w:r>
    </w:p>
    <w:p>
      <w:pPr>
        <w:pStyle w:val="Normal"/>
        <w:ind w:start="1179" w:end="1134"/>
        <w:jc w:val="both"/>
        <w:rPr>
          <w:rFonts w:cs="Miriam"/>
        </w:rPr>
      </w:pPr>
      <w:r>
        <w:rPr>
          <w:rFonts w:cs="Miriam"/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אודותיו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להינשא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טכנולוגי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להנדסאים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ללימודיו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במוסך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להישגים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תעסוקתית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סמכותיות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החינוך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יזמו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הויכוח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להתנהגותם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התוקפנית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אלטרנטיבות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הסכסוך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מעותמאן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179" w:end="1134"/>
        <w:jc w:val="both"/>
        <w:rPr>
          <w:rFonts w:cs="Miriam"/>
        </w:rPr>
      </w:pP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כצעיר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קוגניטיביות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תקינות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נראה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הנוכחית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להערכתנו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עבריניים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התרשמנו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הנוכחית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ועמדה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וכעס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עותמאן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התרשמנו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מחדד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נציין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להערכתינו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נמוכה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ממליצים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עותמאן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למתלוננים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להערכתינו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Fonts w:cs="Miriam"/>
          <w:rtl w:val="true"/>
        </w:rPr>
        <w:t>."</w:t>
      </w:r>
    </w:p>
    <w:p>
      <w:pPr>
        <w:pStyle w:val="Normal"/>
        <w:spacing w:lineRule="auto" w:line="48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כסייעת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יסודי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בדידות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צמיתה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69%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כקבלן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תגובתו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בסערת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ההתלהמות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אופיינת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ותגובת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חידדו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הסתבכות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בינונית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ומאופקת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הסכסוך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כשלונו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ההתנהגותי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הציפיות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המופנמים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וספקות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וערכיה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בשילובו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ולהקנות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אדפטיביים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להתמודדות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ומשבר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79" w:end="1134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בפלילים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והקדשת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בכבוד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למאפייני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שהכשילו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שהגיב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המתלוננים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אחמד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</w:t>
      </w:r>
      <w:r>
        <w:rPr>
          <w:rFonts w:cs="Miriam"/>
          <w:rtl w:val="true"/>
        </w:rPr>
        <w:t>.</w:t>
      </w:r>
    </w:p>
    <w:p>
      <w:pPr>
        <w:pStyle w:val="Normal"/>
        <w:ind w:start="1179" w:end="1134"/>
        <w:jc w:val="both"/>
        <w:rPr>
          <w:rFonts w:cs="Miriam"/>
        </w:rPr>
      </w:pP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ממליצים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להערכתינו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בדימויו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התעסוקתית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48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גליונות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מגליון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תיגרה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תיגרה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ציבורי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פציעותיו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באומרו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79" w:end="1134"/>
        <w:jc w:val="both"/>
        <w:rPr>
          <w:rFonts w:cs="Miriam"/>
        </w:rPr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הזמן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מעצבים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וממתח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ילדים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ולהשקיע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הזמן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חיתנתי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מאלוהים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וצדק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לסולחה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7-17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48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הנגדית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המכובדים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שגרמה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100%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53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55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69%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רהוט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תמציתי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וענייני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בפתרון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סכסוכים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הסלחנות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בגוזרם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והחטיאה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הורתע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החמירה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המצומצם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נמוכה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בינונית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סדר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הדין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הפלילי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מעצר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וחיפוש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[</w:t>
      </w:r>
      <w:r>
        <w:rPr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</w:t>
      </w:r>
      <w:r>
        <w:rPr>
          <w:sz w:val="28"/>
          <w:szCs w:val="28"/>
          <w:rtl w:val="true"/>
        </w:rPr>
        <w:t xml:space="preserve">], </w:t>
      </w:r>
      <w:r>
        <w:rPr>
          <w:sz w:val="28"/>
          <w:sz w:val="28"/>
          <w:szCs w:val="28"/>
          <w:rtl w:val="true"/>
        </w:rPr>
        <w:t>התשכ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1969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אחייניו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הריצפה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אכזרית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מכאיבה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מבוססת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טיעון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כהודייה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ועותמאן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מתקזזת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חיובי</w:t>
      </w:r>
      <w:r>
        <w:rPr>
          <w:sz w:val="28"/>
          <w:szCs w:val="28"/>
          <w:rtl w:val="true"/>
        </w:rPr>
        <w:t>...".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ששוויו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145,000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הריצפה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הנעה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בערובה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לאסופת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בעמדתם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העונשית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דברי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סליחה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והביעו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בסולחה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לישנא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179" w:end="1134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בשבילי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לסלוח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ושתהיה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שצריך</w:t>
      </w:r>
      <w:r>
        <w:rPr>
          <w:rFonts w:cs="Miriam"/>
          <w:rtl w:val="true"/>
        </w:rPr>
        <w:t>".</w:t>
      </w:r>
    </w:p>
    <w:p>
      <w:pPr>
        <w:pStyle w:val="Normal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דיון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חומרתו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משדר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לכולי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וסדר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קרוביו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יתרמו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להחזרת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ההרתעה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הרתיעוהו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השיג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רק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במזל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מרובהו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מיומנותו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שמביאני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משישתחרר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6"/>
          <w:szCs w:val="26"/>
        </w:rPr>
        <w:t>M-16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מצוא</w:t>
      </w:r>
      <w:r>
        <w:rPr>
          <w:sz w:val="28"/>
          <w:szCs w:val="28"/>
          <w:rtl w:val="true"/>
        </w:rPr>
        <w:t>, "</w:t>
      </w:r>
      <w:r>
        <w:rPr>
          <w:sz w:val="28"/>
          <w:sz w:val="28"/>
          <w:szCs w:val="28"/>
          <w:rtl w:val="true"/>
        </w:rPr>
        <w:t>חרטתו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Miriam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תעודה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54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כנימוק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הסיכונים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שלוקח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להיפך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ומוכיחה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ואגרופים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באגרוף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color w:val="000000"/>
          <w:sz w:val="28"/>
          <w:sz w:val="28"/>
          <w:szCs w:val="28"/>
          <w:rtl w:val="true"/>
        </w:rPr>
        <w:t>רע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1958/88</w:t>
      </w:r>
      <w:r>
        <w:rPr>
          <w:color w:val="000000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</w:t>
      </w:r>
      <w:r>
        <w:rPr>
          <w:color w:val="000000"/>
          <w:sz w:val="28"/>
          <w:szCs w:val="28"/>
          <w:rtl w:val="true"/>
        </w:rPr>
        <w:t xml:space="preserve">' </w:t>
      </w:r>
      <w:r>
        <w:rPr>
          <w:color w:val="000000"/>
          <w:sz w:val="28"/>
          <w:sz w:val="28"/>
          <w:szCs w:val="28"/>
          <w:rtl w:val="true"/>
        </w:rPr>
        <w:t>מדינת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ישראל</w:t>
      </w:r>
      <w:r>
        <w:rPr>
          <w:color w:val="000000"/>
          <w:sz w:val="28"/>
          <w:szCs w:val="28"/>
          <w:rtl w:val="true"/>
        </w:rPr>
        <w:t xml:space="preserve">, 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נד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577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ונתמך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המרכזית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המתעוררת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>?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הנדל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179" w:end="1134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במשפטנו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השוויון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והצדק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בסיפור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אומר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כמובן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שחקנים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בסיפור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והמעשה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השתתפותם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היחסית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ודוק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ומוחלט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סרגל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מכאני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לסטות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המקובלות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במשפטנו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ועיוורת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השתתפותם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לתחולת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שאפליה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מלאכותי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נאשמים</w:t>
      </w:r>
      <w:r>
        <w:rPr>
          <w:rFonts w:cs="Miriam"/>
          <w:rtl w:val="true"/>
        </w:rPr>
        <w:t>".</w:t>
      </w:r>
    </w:p>
    <w:p>
      <w:pPr>
        <w:pStyle w:val="Normal"/>
        <w:ind w:start="1179" w:end="1134"/>
        <w:jc w:val="both"/>
        <w:rPr/>
      </w:pP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גיאורגי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28.3.12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כזכור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נפרדת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הריצפה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מכוניתו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מכוניתו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איטית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אחורנית</w:t>
      </w:r>
      <w:r>
        <w:rPr>
          <w:sz w:val="28"/>
          <w:szCs w:val="28"/>
          <w:rtl w:val="true"/>
        </w:rPr>
        <w:t xml:space="preserve">" </w:t>
      </w:r>
      <w:r>
        <w:rPr>
          <w:rFonts w:eastAsia="David" w:ascii="David" w:hAnsi="David"/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פציעה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ורשלנות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338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)(</w:t>
        </w:r>
        <w:r>
          <w:rPr>
            <w:rStyle w:val="Hyperlink"/>
            <w:sz w:val="28"/>
            <w:szCs w:val="28"/>
          </w:rPr>
          <w:t>1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ונסיבותיהם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בראשיד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איטית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אחורנית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יינצל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69%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- "</w:t>
      </w:r>
      <w:r>
        <w:rPr>
          <w:sz w:val="28"/>
          <w:sz w:val="28"/>
          <w:szCs w:val="28"/>
          <w:rtl w:val="true"/>
        </w:rPr>
        <w:t>לאזנו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ותעסוקתית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להיפך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לאזן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נשתכחה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לחלוטין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ינוכה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לעותמאן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במבחן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לעיתים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bCs/>
          <w:sz w:val="28"/>
          <w:szCs w:val="28"/>
        </w:rPr>
      </w:pPr>
      <w:r>
        <w:rPr>
          <w:bCs/>
          <w:sz w:val="28"/>
          <w:sz w:val="28"/>
          <w:szCs w:val="28"/>
          <w:rtl w:val="true"/>
        </w:rPr>
        <w:t>מכך</w:t>
      </w:r>
      <w:r>
        <w:rPr>
          <w:bCs/>
          <w:sz w:val="28"/>
          <w:szCs w:val="28"/>
          <w:rtl w:val="true"/>
        </w:rPr>
        <w:t xml:space="preserve">, </w:t>
      </w:r>
      <w:r>
        <w:rPr>
          <w:bCs/>
          <w:sz w:val="28"/>
          <w:sz w:val="28"/>
          <w:szCs w:val="28"/>
          <w:rtl w:val="true"/>
        </w:rPr>
        <w:t>ובנוסף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מאפשר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צו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להשית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שמפר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אותו</w:t>
      </w:r>
      <w:r>
        <w:rPr>
          <w:bCs/>
          <w:sz w:val="28"/>
          <w:szCs w:val="28"/>
          <w:rtl w:val="true"/>
        </w:rPr>
        <w:t xml:space="preserve">, </w:t>
      </w:r>
      <w:r>
        <w:rPr>
          <w:bCs/>
          <w:sz w:val="28"/>
          <w:sz w:val="28"/>
          <w:szCs w:val="28"/>
          <w:rtl w:val="true"/>
        </w:rPr>
        <w:t>בכל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דרך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שהיא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bCs/>
          <w:sz w:val="28"/>
          <w:sz w:val="28"/>
          <w:szCs w:val="28"/>
          <w:rtl w:val="true"/>
        </w:rPr>
        <w:t>ע</w:t>
      </w:r>
      <w:r>
        <w:rPr>
          <w:bCs/>
          <w:sz w:val="28"/>
          <w:szCs w:val="28"/>
          <w:rtl w:val="true"/>
        </w:rPr>
        <w:t>"</w:t>
      </w:r>
      <w:r>
        <w:rPr>
          <w:bCs/>
          <w:sz w:val="28"/>
          <w:sz w:val="28"/>
          <w:szCs w:val="28"/>
          <w:rtl w:val="true"/>
        </w:rPr>
        <w:t>י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להענישו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המבוגר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החריפו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וכשראה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בנפול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יריבו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ניצל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והיכהו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הריצפה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להתגונן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המבוגר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האחראי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והכאת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כורחך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אומר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וחולייו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ישפיע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השתתפותו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היחסית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מלאכותי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בפרשת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קריניאן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נימוקי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והרתעה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מוחמד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2.10.11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2.9.12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סאלח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6.10.11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24.1.12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עבדאללה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  <w:rtl w:val="true"/>
        </w:rPr>
        <w:br/>
      </w:r>
      <w:r>
        <w:rPr>
          <w:sz w:val="28"/>
          <w:szCs w:val="28"/>
        </w:rPr>
        <w:t>5,000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2.9.12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עותמאן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28.3.12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כרמיאל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קליטה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3.5.12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חרמון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08:00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הוסבר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פשוטה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עבדאללה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2.9.12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אחמד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התחייבות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20.5.12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המשך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הדיון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אחמד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ליום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23.5.12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שעה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15:00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חובתו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להתייצב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במועד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למבוגרים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מוחמד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סאלח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ועותמאן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ימים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אייר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29.4.12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81125" cy="713740"/>
                  <wp:effectExtent l="0" t="0" r="0" b="0"/>
                  <wp:docPr id="1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13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sz w:val="20"/>
          <w:u w:val="single"/>
        </w:rPr>
      </w:pPr>
      <w:r>
        <w:rPr>
          <w:color w:val="000000"/>
          <w:sz w:val="20"/>
          <w:sz w:val="20"/>
          <w:rtl w:val="true"/>
        </w:rPr>
        <w:t>בעניין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עריכה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ושינויים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במסמכי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פסיקה</w:t>
      </w:r>
      <w:r>
        <w:rPr>
          <w:color w:val="000000"/>
          <w:sz w:val="20"/>
          <w:rtl w:val="true"/>
        </w:rPr>
        <w:t xml:space="preserve">, </w:t>
      </w:r>
      <w:r>
        <w:rPr>
          <w:color w:val="000000"/>
          <w:sz w:val="20"/>
          <w:sz w:val="20"/>
          <w:rtl w:val="true"/>
        </w:rPr>
        <w:t>חקיקה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ועוד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באתר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נבו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הקש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sz w:val="20"/>
          <w:u w:val="single"/>
        </w:rPr>
      </w:pPr>
      <w:r>
        <w:rPr>
          <w:color w:val="0000FF"/>
          <w:sz w:val="20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29014-10-11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בכרי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838359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838359&lt;/CaseID&gt;&#10;        &lt;CaseMonth&gt;10&lt;/CaseMonth&gt;&#10;        &lt;CaseYear&gt;2011&lt;/CaseYear&gt;&#10;        &lt;CaseNumber&gt;29014&lt;/CaseNumber&gt;&#10;        &lt;NumeratorGroupID&gt;1&lt;/NumeratorGroupID&gt;&#10;        &lt;CaseName&gt;מדינת ישראל נ' בכרי(עציר) ואח'&lt;/CaseName&gt;&#10;        &lt;CourtID&gt;13&lt;/CourtID&gt;&#10;        &lt;CaseTypeID&gt;10048&lt;/CaseTypeID&gt;&#10;        &lt;CaseJudgeName&gt;משה גלעד&lt;/CaseJudgeName&gt;&#10;        &lt;CaseLinkTypeID&gt;4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9014-10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10-23T12:04:00.0000000+02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לישיבה ביום 27.11.11 זומן מתורגמן לשפה הערבית&#10;&#10;זומן מתורגמן לשפה הערבית ליום 20.12.11 &#10;זומן מתורגמן לשפה הערבית ליום 1.2.12   &#10;&#10;&#10;נא לשים לב תיק זה מאוחד לתיק 30019-01-12&#10;&lt;/CaseDesc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2-04-29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838359&lt;/CaseID&gt;&#10;        &lt;CaseMonth&gt;10&lt;/CaseMonth&gt;&#10;        &lt;CaseYear&gt;2011&lt;/CaseYear&gt;&#10;        &lt;CaseNumber&gt;29014&lt;/CaseNumber&gt;&#10;        &lt;NumeratorGroupID&gt;1&lt;/NumeratorGroupID&gt;&#10;        &lt;CaseName&gt;מדינת ישראל נ' בכרי(עציר) ואח'&lt;/CaseName&gt;&#10;        &lt;CourtID&gt;13&lt;/CourtID&gt;&#10;        &lt;CaseTypeID&gt;10048&lt;/CaseTypeID&gt;&#10;        &lt;CaseJudgeName&gt;משה גלעד&lt;/CaseJudgeName&gt;&#10;        &lt;CaseLinkTypeID&gt;4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9014-10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10-23T12:04:00.0000000+02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לישיבה ביום 27.11.11 זומן מתורגמן לשפה הערבית&#10;&#10;זומן מתורגמן לשפה הערבית ליום 20.12.11 &#10;זומן מתורגמן לשפה הערבית ליום 1.2.12   &#10;&#10;&#10;נא לשים לב תיק זה מאוחד לתיק 30019-01-12&#10;&lt;/CaseDesc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80359953&lt;/DecisionID&gt;&#10;        &lt;DecisionName&gt;גזר דין  מתאריך  19/04/12  שניתנה ע&quot;י  משה גלעד&lt;/DecisionName&gt;&#10;        &lt;DecisionStatusID&gt;1&lt;/DecisionStatusID&gt;&#10;        &lt;DecisionStatusChangeDate&gt;2012-04-29T09:38:37.4800000+03:00&lt;/DecisionStatusChangeDate&gt;&#10;        &lt;DecisionSignatureDate&gt;2012-04-19T12:49:32.9770000+03:00&lt;/DecisionSignatureDate&gt;&#10;        &lt;DecisionSignatureUserID&gt;067578955@GOV.IL&lt;/DecisionSignatureUserID&gt;&#10;        &lt;DecisionCreateDate&gt;2012-04-19T12:54:49.4130000+03:00&lt;/DecisionCreateDate&gt;&#10;        &lt;DecisionChangeDate&gt;2012-04-29T09:38:39.1730000+03:00&lt;/DecisionChangeDate&gt;&#10;        &lt;DecisionChangeUserID&gt;067578955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998058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75789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1804206@GOV.IL&lt;/DecisionCreationUserID&gt;&#10;        &lt;DecisionDisplayName&gt;גזר דין  מתאריך  19/04/12  שניתנה ע&quot;י  משה גלעד&lt;/DecisionDisplayName&gt;&#10;        &lt;IsScanned&gt;false&lt;/IsScanned&gt;&#10;        &lt;DecisionSignatureUserName&gt;משה גלעד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80359953&lt;/DecisionID&gt;&#10;        &lt;CaseID&gt;69838359&lt;/CaseID&gt;&#10;        &lt;IsOriginal&gt;true&lt;/IsOriginal&gt;&#10;        &lt;IsDeleted&gt;false&lt;/IsDeleted&gt;&#10;        &lt;CaseName&gt;מדינת ישראל נ' בכרי(עציר) ואח'&lt;/CaseName&gt;&#10;        &lt;CaseDisplayIdentifier&gt;29014-10-11 ת&quot;פ&lt;/CaseDisplayIdentifier&gt;&#10;      &lt;/dt_DecisionCase&gt;&#10;    &lt;/DecisionDS&gt;&#10;  &lt;/diffgr:diffgram&gt;&#10;&lt;/DecisionDS&gt;"/>
    <w:docVar w:name="DecisionID" w:val="80359953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67578955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11176" TargetMode="External"/><Relationship Id="rId3" Type="http://schemas.openxmlformats.org/officeDocument/2006/relationships/hyperlink" Target="http://www.nevo.co.il/case/2811176" TargetMode="External"/><Relationship Id="rId4" Type="http://schemas.openxmlformats.org/officeDocument/2006/relationships/hyperlink" Target="http://www.nevo.co.il/case/489661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38.a.1" TargetMode="External"/><Relationship Id="rId13" Type="http://schemas.openxmlformats.org/officeDocument/2006/relationships/hyperlink" Target="http://www.nevo.co.il/law/91073" TargetMode="External"/><Relationship Id="rId14" Type="http://schemas.openxmlformats.org/officeDocument/2006/relationships/hyperlink" Target="http://www.nevo.co.il/law/74918" TargetMode="External"/><Relationship Id="rId15" Type="http://schemas.openxmlformats.org/officeDocument/2006/relationships/hyperlink" Target="http://www.nevo.co.il/law/74918/39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4" TargetMode="External"/><Relationship Id="rId22" Type="http://schemas.openxmlformats.org/officeDocument/2006/relationships/hyperlink" Target="http://www.nevo.co.il/law/70301/335.a.1" TargetMode="External"/><Relationship Id="rId23" Type="http://schemas.openxmlformats.org/officeDocument/2006/relationships/hyperlink" Target="http://www.nevo.co.il/law/70301/338.a.1" TargetMode="External"/><Relationship Id="rId24" Type="http://schemas.openxmlformats.org/officeDocument/2006/relationships/hyperlink" Target="http://www.nevo.co.il/law/91073" TargetMode="External"/><Relationship Id="rId25" Type="http://schemas.openxmlformats.org/officeDocument/2006/relationships/hyperlink" Target="http://www.nevo.co.il/law/74918" TargetMode="External"/><Relationship Id="rId26" Type="http://schemas.openxmlformats.org/officeDocument/2006/relationships/hyperlink" Target="http://www.nevo.co.il/law/74918/39.a" TargetMode="External"/><Relationship Id="rId27" Type="http://schemas.openxmlformats.org/officeDocument/2006/relationships/hyperlink" Target="http://www.nevo.co.il/case/4896616" TargetMode="External"/><Relationship Id="rId28" Type="http://schemas.openxmlformats.org/officeDocument/2006/relationships/hyperlink" Target="http://www.nevo.co.il/case/2811176" TargetMode="External"/><Relationship Id="rId29" Type="http://schemas.openxmlformats.org/officeDocument/2006/relationships/hyperlink" Target="http://www.nevo.co.il/case/2811176" TargetMode="External"/><Relationship Id="rId30" Type="http://schemas.openxmlformats.org/officeDocument/2006/relationships/hyperlink" Target="http://www.nevo.co.il/case/4896616" TargetMode="External"/><Relationship Id="rId31" Type="http://schemas.openxmlformats.org/officeDocument/2006/relationships/hyperlink" Target="http://www.nevo.co.il/case/2811176" TargetMode="External"/><Relationship Id="rId32" Type="http://schemas.openxmlformats.org/officeDocument/2006/relationships/hyperlink" Target="http://www.nevo.co.il/case/4896616" TargetMode="External"/><Relationship Id="rId33" Type="http://schemas.openxmlformats.org/officeDocument/2006/relationships/hyperlink" Target="http://www.nevo.co.il/law/70301/333" TargetMode="External"/><Relationship Id="rId34" Type="http://schemas.openxmlformats.org/officeDocument/2006/relationships/hyperlink" Target="http://www.nevo.co.il/law/70301/335.a.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34" TargetMode="External"/><Relationship Id="rId40" Type="http://schemas.openxmlformats.org/officeDocument/2006/relationships/hyperlink" Target="http://www.nevo.co.il/law/70301/335.a.1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91073" TargetMode="External"/><Relationship Id="rId44" Type="http://schemas.openxmlformats.org/officeDocument/2006/relationships/hyperlink" Target="http://www.nevo.co.il/law/74918/39.a" TargetMode="External"/><Relationship Id="rId45" Type="http://schemas.openxmlformats.org/officeDocument/2006/relationships/hyperlink" Target="http://www.nevo.co.il/law/74918" TargetMode="External"/><Relationship Id="rId46" Type="http://schemas.openxmlformats.org/officeDocument/2006/relationships/hyperlink" Target="http://www.nevo.co.il/case/5933664" TargetMode="External"/><Relationship Id="rId47" Type="http://schemas.openxmlformats.org/officeDocument/2006/relationships/hyperlink" Target="http://www.nevo.co.il/law/70301/338.a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image" Target="media/image1.png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2022-09-11T10:33:00Z</dcterms:created>
  <dc:creator> </dc:creator>
  <dc:description/>
  <cp:keywords/>
  <dc:language>en-IL</dc:language>
  <cp:lastModifiedBy>h1</cp:lastModifiedBy>
  <cp:lastPrinted>2012-04-29T09:34:00Z</cp:lastPrinted>
  <dcterms:modified xsi:type="dcterms:W3CDTF">2022-09-11T10:33:00Z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בכרי;סאלח בכרי;עותמאן בכרי;אחמד בכרי</vt:lpwstr>
  </property>
  <property fmtid="{D5CDD505-2E9C-101B-9397-08002B2CF9AE}" pid="4" name="CASESLISTTMP1">
    <vt:lpwstr>2811176:4;4896616:4;5933664</vt:lpwstr>
  </property>
  <property fmtid="{D5CDD505-2E9C-101B-9397-08002B2CF9AE}" pid="5" name="CITY">
    <vt:lpwstr>חי'</vt:lpwstr>
  </property>
  <property fmtid="{D5CDD505-2E9C-101B-9397-08002B2CF9AE}" pid="6" name="DATE">
    <vt:lpwstr>20120429</vt:lpwstr>
  </property>
  <property fmtid="{D5CDD505-2E9C-101B-9397-08002B2CF9AE}" pid="7" name="ISABSTRACT">
    <vt:lpwstr>Y</vt:lpwstr>
  </property>
  <property fmtid="{D5CDD505-2E9C-101B-9397-08002B2CF9AE}" pid="8" name="JUDGE">
    <vt:lpwstr>מ' גלעד</vt:lpwstr>
  </property>
  <property fmtid="{D5CDD505-2E9C-101B-9397-08002B2CF9AE}" pid="9" name="LAWLISTTMP1">
    <vt:lpwstr>70301/029:2;144.a:2;144.b:2;333:2;334:2;335.a.1:3;338.a.1:2</vt:lpwstr>
  </property>
  <property fmtid="{D5CDD505-2E9C-101B-9397-08002B2CF9AE}" pid="10" name="LAWLISTTMP2">
    <vt:lpwstr>91073:2</vt:lpwstr>
  </property>
  <property fmtid="{D5CDD505-2E9C-101B-9397-08002B2CF9AE}" pid="11" name="LAWLISTTMP3">
    <vt:lpwstr>74918/039.a:2</vt:lpwstr>
  </property>
  <property fmtid="{D5CDD505-2E9C-101B-9397-08002B2CF9AE}" pid="12" name="LAWYER">
    <vt:lpwstr>שגב אדלר;ששון בר עוז</vt:lpwstr>
  </property>
  <property fmtid="{D5CDD505-2E9C-101B-9397-08002B2CF9AE}" pid="13" name="NEWPARTA">
    <vt:lpwstr>29014;30019</vt:lpwstr>
  </property>
  <property fmtid="{D5CDD505-2E9C-101B-9397-08002B2CF9AE}" pid="14" name="NEWPARTB">
    <vt:lpwstr>10;01</vt:lpwstr>
  </property>
  <property fmtid="{D5CDD505-2E9C-101B-9397-08002B2CF9AE}" pid="15" name="NEWPARTC">
    <vt:lpwstr>11;</vt:lpwstr>
  </property>
  <property fmtid="{D5CDD505-2E9C-101B-9397-08002B2CF9AE}" pid="16" name="NEWPROC">
    <vt:lpwstr>תפ;תפ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390020120429</vt:lpwstr>
  </property>
  <property fmtid="{D5CDD505-2E9C-101B-9397-08002B2CF9AE}" pid="20" name="TYPE_N_DATE">
    <vt:lpwstr>39020120429</vt:lpwstr>
  </property>
  <property fmtid="{D5CDD505-2E9C-101B-9397-08002B2CF9AE}" pid="21" name="WORDNUMPAGES">
    <vt:lpwstr>20</vt:lpwstr>
  </property>
</Properties>
</file>