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293-01-12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נפרין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725"/>
        <w:gridCol w:w="1062"/>
        <w:gridCol w:w="3637"/>
        <w:gridCol w:w="81"/>
      </w:tblGrid>
      <w:tr>
        <w:trPr>
          <w:trHeight w:val="337" w:hRule="atLeast"/>
        </w:trPr>
        <w:tc>
          <w:tcPr>
            <w:tcW w:w="394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שופטת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יניאנו</w:t>
            </w:r>
          </w:p>
        </w:tc>
        <w:tc>
          <w:tcPr>
            <w:tcW w:w="1062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37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0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0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אמיר נפרין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bookmarkStart w:id="3" w:name="LawTable"/>
      <w:bookmarkEnd w:id="3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eastAsia="David" w:cs="FrankRuehl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</w:rPr>
          <w:t>144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eastAsia="David" w:cs="FrankRuehl"/>
            <w:rtl w:val="true"/>
          </w:rPr>
          <w:t xml:space="preserve">פקודת הסמים המסוכנים </w:t>
        </w:r>
        <w:r>
          <w:rPr>
            <w:rStyle w:val="Hyperlink"/>
            <w:rFonts w:eastAsia="David"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</w:rPr>
          <w:t>1973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&gt;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LastJudge"/>
      <w:bookmarkStart w:id="7" w:name="PsakDin"/>
      <w:bookmarkEnd w:id="6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בחמישה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המגבשים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tl w:val="true"/>
        </w:rPr>
        <w:t xml:space="preserve">), </w:t>
      </w:r>
      <w:r>
        <w:rPr>
          <w:rtl w:val="true"/>
        </w:rPr>
        <w:t>מרמה</w:t>
      </w:r>
      <w:r>
        <w:rPr>
          <w:rtl w:val="true"/>
        </w:rPr>
        <w:t xml:space="preserve"> </w:t>
      </w:r>
      <w:r>
        <w:rPr>
          <w:rtl w:val="true"/>
        </w:rPr>
        <w:t>והפרת</w:t>
      </w:r>
      <w:r>
        <w:rPr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ושלישי</w:t>
      </w:r>
      <w:r>
        <w:rPr>
          <w:rtl w:val="true"/>
        </w:rPr>
        <w:t xml:space="preserve">), </w:t>
      </w:r>
      <w:r>
        <w:rPr>
          <w:rtl w:val="true"/>
        </w:rPr>
        <w:t>גניבה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 </w:t>
      </w:r>
      <w:r>
        <w:rPr>
          <w:rtl w:val="true"/>
        </w:rPr>
        <w:t>ושלישי</w:t>
      </w:r>
      <w:r>
        <w:rPr>
          <w:rtl w:val="true"/>
        </w:rPr>
        <w:t xml:space="preserve">),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), </w:t>
      </w:r>
      <w:r>
        <w:rPr>
          <w:rtl w:val="true"/>
        </w:rPr>
        <w:t>סחר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) </w:t>
      </w:r>
      <w:r>
        <w:rPr>
          <w:rtl w:val="true"/>
        </w:rPr>
        <w:t>והחזקה</w:t>
      </w:r>
      <w:r>
        <w:rPr>
          <w:rtl w:val="true"/>
        </w:rPr>
        <w:t xml:space="preserve"> </w:t>
      </w:r>
      <w:r>
        <w:rPr>
          <w:rtl w:val="true"/>
        </w:rPr>
        <w:t>ושימוש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רביעי</w:t>
      </w:r>
      <w:r>
        <w:rPr>
          <w:rtl w:val="true"/>
        </w:rPr>
        <w:t xml:space="preserve"> </w:t>
      </w:r>
      <w:r>
        <w:rPr>
          <w:rtl w:val="true"/>
        </w:rPr>
        <w:t>וחמישי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 </w:t>
      </w:r>
      <w:r>
        <w:rPr>
          <w:rtl w:val="true"/>
        </w:rPr>
        <w:t>הופרד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מנאשמים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והוגש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 </w:t>
      </w:r>
      <w:r>
        <w:rPr>
          <w:rtl w:val="true"/>
        </w:rPr>
        <w:t>מגיל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והופנה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שיוגש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בתקופה</w:t>
      </w:r>
      <w:r>
        <w:rPr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 </w:t>
      </w:r>
      <w:r>
        <w:rPr>
          <w:rtl w:val="true"/>
        </w:rPr>
        <w:t>בשירות</w:t>
      </w:r>
      <w:r>
        <w:rPr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 </w:t>
      </w:r>
      <w:r>
        <w:rPr>
          <w:rtl w:val="true"/>
        </w:rPr>
        <w:t>במשמר</w:t>
      </w:r>
      <w:r>
        <w:rPr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אופיר</w:t>
      </w:r>
      <w:r>
        <w:rPr>
          <w:rtl w:val="true"/>
        </w:rPr>
        <w:t xml:space="preserve">", </w:t>
      </w:r>
      <w:r>
        <w:rPr>
          <w:rtl w:val="true"/>
        </w:rPr>
        <w:t>שמקום</w:t>
      </w:r>
      <w:r>
        <w:rPr>
          <w:rtl w:val="true"/>
        </w:rPr>
        <w:t xml:space="preserve"> </w:t>
      </w:r>
      <w:r>
        <w:rPr>
          <w:rtl w:val="true"/>
        </w:rPr>
        <w:t>מושבה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אישום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tl w:val="true"/>
        </w:rPr>
        <w:t xml:space="preserve"> </w:t>
      </w:r>
      <w:r>
        <w:rPr>
          <w:rtl w:val="true"/>
        </w:rPr>
        <w:t>אפריל</w:t>
      </w:r>
      <w:r>
        <w:rPr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 </w:t>
      </w:r>
      <w:r>
        <w:rPr>
          <w:rtl w:val="true"/>
        </w:rPr>
        <w:t>מחדר</w:t>
      </w:r>
      <w:r>
        <w:rPr>
          <w:rtl w:val="true"/>
        </w:rPr>
        <w:t xml:space="preserve"> </w:t>
      </w:r>
      <w:r>
        <w:rPr>
          <w:rtl w:val="true"/>
        </w:rPr>
        <w:t>הכוננות</w:t>
      </w:r>
      <w:r>
        <w:rPr>
          <w:rtl w:val="true"/>
        </w:rPr>
        <w:t xml:space="preserve"> </w:t>
      </w:r>
      <w:r>
        <w:rPr>
          <w:rtl w:val="true"/>
        </w:rPr>
        <w:t>שבבסיס</w:t>
      </w:r>
      <w:r>
        <w:rPr>
          <w:rtl w:val="true"/>
        </w:rPr>
        <w:t xml:space="preserve"> </w:t>
      </w:r>
      <w:r>
        <w:rPr>
          <w:rtl w:val="true"/>
        </w:rPr>
        <w:t>והטמינם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בורות</w:t>
      </w:r>
      <w:r>
        <w:rPr>
          <w:rtl w:val="true"/>
        </w:rPr>
        <w:t xml:space="preserve"> </w:t>
      </w:r>
      <w:r>
        <w:rPr>
          <w:rtl w:val="true"/>
        </w:rPr>
        <w:t>שחפר</w:t>
      </w:r>
      <w:r>
        <w:rPr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אלדד</w:t>
      </w:r>
      <w:r>
        <w:rPr>
          <w:rtl w:val="true"/>
        </w:rPr>
        <w:t xml:space="preserve">"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דוידוב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הזמנתו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אישום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tl w:val="true"/>
        </w:rPr>
        <w:t xml:space="preserve"> – </w:t>
      </w:r>
      <w:r>
        <w:rPr>
          <w:rtl w:val="true"/>
        </w:rPr>
        <w:t>בחודש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, </w:t>
      </w:r>
      <w:r>
        <w:rPr>
          <w:rtl w:val="true"/>
        </w:rPr>
        <w:t>בארון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עמרם</w:t>
      </w:r>
      <w:r>
        <w:rPr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, </w:t>
      </w:r>
      <w:r>
        <w:rPr>
          <w:rtl w:val="true"/>
        </w:rPr>
        <w:t>בידיעתו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 </w:t>
      </w:r>
      <w:r>
        <w:rPr>
          <w:rtl w:val="true"/>
        </w:rPr>
        <w:t>לאבנר</w:t>
      </w:r>
      <w:r>
        <w:rPr>
          <w:rtl w:val="true"/>
        </w:rPr>
        <w:t xml:space="preserve"> </w:t>
      </w:r>
      <w:r>
        <w:rPr>
          <w:rtl w:val="true"/>
        </w:rPr>
        <w:t>חיזגאייב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הזמנתו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אבנר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tl w:val="true"/>
        </w:rPr>
        <w:t xml:space="preserve"> </w:t>
      </w:r>
      <w:r>
        <w:rPr>
          <w:rtl w:val="true"/>
        </w:rPr>
        <w:t>מכירת</w:t>
      </w:r>
      <w:r>
        <w:rPr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אבנר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בשווי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יתרת</w:t>
      </w:r>
      <w:r>
        <w:rPr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 </w:t>
      </w:r>
      <w:r>
        <w:rPr>
          <w:rtl w:val="true"/>
        </w:rPr>
        <w:t>בשווי</w:t>
      </w:r>
      <w:r>
        <w:rPr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התחייב</w:t>
      </w:r>
      <w:r>
        <w:rPr>
          <w:rtl w:val="true"/>
        </w:rPr>
        <w:t xml:space="preserve"> </w:t>
      </w:r>
      <w:r>
        <w:rPr>
          <w:rtl w:val="true"/>
        </w:rPr>
        <w:t>אבנר</w:t>
      </w:r>
      <w:r>
        <w:rPr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אישום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שלישי</w:t>
      </w:r>
      <w:r>
        <w:rPr>
          <w:rtl w:val="true"/>
        </w:rPr>
        <w:t xml:space="preserve"> – </w:t>
      </w: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/>
        <w:t>21.6.2011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 </w:t>
      </w:r>
      <w:r>
        <w:rPr>
          <w:rtl w:val="true"/>
        </w:rPr>
        <w:t>אפוד</w:t>
      </w:r>
      <w:r>
        <w:rPr>
          <w:rtl w:val="true"/>
        </w:rPr>
        <w:t xml:space="preserve"> </w:t>
      </w:r>
      <w:r>
        <w:rPr>
          <w:rtl w:val="true"/>
        </w:rPr>
        <w:t>ואמצעי</w:t>
      </w:r>
      <w:r>
        <w:rPr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/>
        <w:t>444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אבוקות</w:t>
      </w:r>
      <w:r>
        <w:rPr>
          <w:rtl w:val="true"/>
        </w:rPr>
        <w:t xml:space="preserve"> </w:t>
      </w:r>
      <w:r>
        <w:rPr>
          <w:rtl w:val="true"/>
        </w:rPr>
        <w:t>תאורה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וכדור</w:t>
      </w:r>
      <w:r>
        <w:rPr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הלחימה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 </w:t>
      </w:r>
      <w:r>
        <w:rPr>
          <w:rtl w:val="true"/>
        </w:rPr>
        <w:t>והם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אישום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רביעי</w:t>
      </w:r>
      <w:r>
        <w:rPr>
          <w:rtl w:val="true"/>
        </w:rPr>
        <w:t xml:space="preserve"> – </w:t>
      </w:r>
      <w:r>
        <w:rPr>
          <w:rtl w:val="true"/>
        </w:rPr>
        <w:t>מחודש</w:t>
      </w:r>
      <w:r>
        <w:rPr>
          <w:rtl w:val="true"/>
        </w:rPr>
        <w:t xml:space="preserve"> </w:t>
      </w:r>
      <w:r>
        <w:rPr>
          <w:rtl w:val="true"/>
        </w:rPr>
        <w:t>אוגוסט</w:t>
      </w:r>
      <w:r>
        <w:rPr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21.6.2011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 </w:t>
      </w:r>
      <w:r>
        <w:rPr>
          <w:rtl w:val="true"/>
        </w:rPr>
        <w:t>שאינם</w:t>
      </w:r>
      <w:r>
        <w:rPr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השתמשו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וחברתו</w:t>
      </w:r>
      <w:r>
        <w:rPr>
          <w:rtl w:val="true"/>
        </w:rPr>
        <w:t xml:space="preserve">,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 </w:t>
      </w:r>
      <w:r>
        <w:rPr>
          <w:rtl w:val="true"/>
        </w:rPr>
        <w:t>ובחוף</w:t>
      </w:r>
      <w:r>
        <w:rPr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 </w:t>
      </w:r>
      <w:r>
        <w:rPr>
          <w:rtl w:val="true"/>
        </w:rPr>
        <w:t>בתדירות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כפעמיים</w:t>
      </w:r>
      <w:r>
        <w:rPr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אישום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חמישי</w:t>
      </w:r>
      <w:r>
        <w:rPr>
          <w:rtl w:val="true"/>
        </w:rPr>
        <w:t xml:space="preserve"> – </w:t>
      </w:r>
      <w:r>
        <w:rPr>
          <w:rtl w:val="true"/>
        </w:rPr>
        <w:t>בתקופה</w:t>
      </w:r>
      <w:r>
        <w:rPr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שאינם</w:t>
      </w:r>
      <w:r>
        <w:rPr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tl w:val="true"/>
        </w:rPr>
        <w:t xml:space="preserve">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ידועות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התקבלי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מחקירת</w:t>
      </w:r>
      <w:r>
        <w:rPr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 </w:t>
      </w:r>
      <w:r>
        <w:rPr>
          <w:rtl w:val="true"/>
        </w:rPr>
        <w:t>והפיקוח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לילי</w:t>
      </w:r>
      <w:r>
        <w:rPr>
          <w:rtl w:val="true"/>
        </w:rPr>
        <w:t xml:space="preserve"> </w:t>
      </w:r>
      <w:r>
        <w:rPr>
          <w:rtl w:val="true"/>
        </w:rPr>
        <w:t>מגובה</w:t>
      </w:r>
      <w:r>
        <w:rPr>
          <w:rtl w:val="true"/>
        </w:rPr>
        <w:t xml:space="preserve"> </w:t>
      </w:r>
      <w:r>
        <w:rPr>
          <w:rtl w:val="true"/>
        </w:rPr>
        <w:t>באיזוק</w:t>
      </w:r>
      <w:r>
        <w:rPr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tl w:val="true"/>
        </w:rPr>
        <w:t xml:space="preserve"> </w:t>
      </w:r>
      <w:r>
        <w:rPr>
          <w:rtl w:val="true"/>
        </w:rPr>
        <w:t>במשרה</w:t>
      </w:r>
      <w:r>
        <w:rPr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 </w:t>
      </w:r>
      <w:r>
        <w:rPr>
          <w:rtl w:val="true"/>
        </w:rPr>
        <w:t>בשיפוצים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 </w:t>
      </w:r>
      <w:r>
        <w:rPr>
          <w:rtl w:val="true"/>
        </w:rPr>
        <w:t>ובני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 xml:space="preserve"> </w:t>
      </w:r>
      <w:r>
        <w:rPr>
          <w:rtl w:val="true"/>
        </w:rPr>
        <w:t>תעודת</w:t>
      </w:r>
      <w:r>
        <w:rPr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tl w:val="true"/>
        </w:rPr>
        <w:t xml:space="preserve"> </w:t>
      </w:r>
      <w:r>
        <w:rPr>
          <w:rtl w:val="true"/>
        </w:rPr>
        <w:t>כחוויה</w:t>
      </w:r>
      <w:r>
        <w:rPr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לשחרורו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אכזבתו</w:t>
      </w:r>
      <w:r>
        <w:rPr>
          <w:rtl w:val="true"/>
        </w:rPr>
        <w:t xml:space="preserve"> </w:t>
      </w:r>
      <w:r>
        <w:rPr>
          <w:rtl w:val="true"/>
        </w:rPr>
        <w:t>מעצמו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והפרת</w:t>
      </w:r>
      <w:r>
        <w:rPr>
          <w:rtl w:val="true"/>
        </w:rPr>
        <w:t xml:space="preserve"> </w:t>
      </w:r>
      <w:r>
        <w:rPr>
          <w:rtl w:val="true"/>
        </w:rPr>
        <w:t>האמון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מהערכת</w:t>
      </w:r>
      <w:r>
        <w:rPr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מועמד</w:t>
      </w:r>
      <w:r>
        <w:rPr>
          <w:rtl w:val="true"/>
        </w:rPr>
        <w:t xml:space="preserve"> </w:t>
      </w:r>
      <w:r>
        <w:rPr>
          <w:rtl w:val="true"/>
        </w:rPr>
        <w:t>בולט</w:t>
      </w:r>
      <w:r>
        <w:rPr>
          <w:rtl w:val="true"/>
        </w:rPr>
        <w:t xml:space="preserve"> </w:t>
      </w:r>
      <w:r>
        <w:rPr>
          <w:rtl w:val="true"/>
        </w:rPr>
        <w:t>לקורס</w:t>
      </w:r>
      <w:r>
        <w:rPr>
          <w:rtl w:val="true"/>
        </w:rPr>
        <w:t xml:space="preserve"> </w:t>
      </w:r>
      <w:r>
        <w:rPr>
          <w:rtl w:val="true"/>
        </w:rPr>
        <w:t>קצינים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לשבח</w:t>
      </w:r>
      <w:r>
        <w:rPr>
          <w:rtl w:val="true"/>
        </w:rPr>
        <w:t xml:space="preserve"> </w:t>
      </w:r>
      <w:r>
        <w:rPr>
          <w:rtl w:val="true"/>
        </w:rPr>
        <w:t>כמפקד</w:t>
      </w:r>
      <w:r>
        <w:rPr>
          <w:rtl w:val="true"/>
        </w:rPr>
        <w:t xml:space="preserve"> </w:t>
      </w:r>
      <w:r>
        <w:rPr>
          <w:rtl w:val="true"/>
        </w:rPr>
        <w:t>כיתה</w:t>
      </w:r>
      <w:r>
        <w:rPr>
          <w:rtl w:val="true"/>
        </w:rPr>
        <w:t xml:space="preserve"> </w:t>
      </w:r>
      <w:r>
        <w:rPr>
          <w:rtl w:val="true"/>
        </w:rPr>
        <w:t>ויכולתו</w:t>
      </w:r>
      <w:r>
        <w:rPr>
          <w:rtl w:val="true"/>
        </w:rPr>
        <w:t xml:space="preserve"> </w:t>
      </w:r>
      <w:r>
        <w:rPr>
          <w:rtl w:val="true"/>
        </w:rPr>
        <w:t>הפיקודית</w:t>
      </w:r>
      <w:r>
        <w:rPr>
          <w:rtl w:val="true"/>
        </w:rPr>
        <w:t xml:space="preserve">, </w:t>
      </w:r>
      <w:r>
        <w:rPr>
          <w:rtl w:val="true"/>
        </w:rPr>
        <w:t>הווה</w:t>
      </w:r>
      <w:r>
        <w:rPr>
          <w:rtl w:val="true"/>
        </w:rPr>
        <w:t xml:space="preserve"> </w:t>
      </w:r>
      <w:r>
        <w:rPr>
          <w:rtl w:val="true"/>
        </w:rPr>
        <w:t>דוגמא</w:t>
      </w:r>
      <w:r>
        <w:rPr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 </w:t>
      </w:r>
      <w:r>
        <w:rPr>
          <w:rtl w:val="true"/>
        </w:rPr>
        <w:t>ביחידה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הפגנת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כמפקד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סיפר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להשתמש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סקרנות</w:t>
      </w:r>
      <w:r>
        <w:rPr>
          <w:rtl w:val="true"/>
        </w:rPr>
        <w:t xml:space="preserve">) </w:t>
      </w:r>
      <w:r>
        <w:rPr>
          <w:rtl w:val="true"/>
        </w:rPr>
        <w:t>ובהמשך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 </w:t>
      </w:r>
      <w:r>
        <w:rPr>
          <w:rtl w:val="true"/>
        </w:rPr>
        <w:t>מהקושי</w:t>
      </w:r>
      <w:r>
        <w:rPr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 </w:t>
      </w:r>
      <w:r>
        <w:rPr>
          <w:rtl w:val="true"/>
        </w:rPr>
        <w:t>בשירותו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השימוש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מפלט</w:t>
      </w:r>
      <w:r>
        <w:rPr>
          <w:rtl w:val="true"/>
        </w:rPr>
        <w:t xml:space="preserve">" </w:t>
      </w:r>
      <w:r>
        <w:rPr>
          <w:rtl w:val="true"/>
        </w:rPr>
        <w:t>בסופי</w:t>
      </w:r>
      <w:r>
        <w:rPr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השימוש</w:t>
      </w:r>
      <w:r>
        <w:rPr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התמכר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 </w:t>
      </w:r>
      <w:r>
        <w:rPr>
          <w:rtl w:val="true"/>
        </w:rPr>
        <w:t>שולב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 </w:t>
      </w:r>
      <w:r>
        <w:rPr>
          <w:rtl w:val="true"/>
        </w:rPr>
        <w:t>לאוכלוסיית</w:t>
      </w:r>
      <w:r>
        <w:rPr>
          <w:rtl w:val="true"/>
        </w:rPr>
        <w:t xml:space="preserve"> </w:t>
      </w:r>
      <w:r>
        <w:rPr>
          <w:rtl w:val="true"/>
        </w:rPr>
        <w:t>משתמשים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ומסר</w:t>
      </w:r>
      <w:r>
        <w:rPr>
          <w:rtl w:val="true"/>
        </w:rPr>
        <w:t xml:space="preserve"> </w:t>
      </w:r>
      <w:r>
        <w:rPr>
          <w:rtl w:val="true"/>
        </w:rPr>
        <w:t>בדיקות</w:t>
      </w:r>
      <w:r>
        <w:rPr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השתלבותו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הגעתו</w:t>
      </w:r>
      <w:r>
        <w:rPr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השיתוף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tl w:val="true"/>
        </w:rPr>
        <w:t xml:space="preserve"> </w:t>
      </w:r>
      <w:r>
        <w:rPr>
          <w:rtl w:val="true"/>
        </w:rPr>
        <w:t>בכוחה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להתחיל</w:t>
      </w:r>
      <w:r>
        <w:rPr>
          <w:rtl w:val="true"/>
        </w:rPr>
        <w:t xml:space="preserve"> </w:t>
      </w:r>
      <w:r>
        <w:rPr>
          <w:rtl w:val="true"/>
        </w:rPr>
        <w:t>תהליך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 </w:t>
      </w:r>
      <w:r>
        <w:rPr>
          <w:rtl w:val="true"/>
        </w:rPr>
        <w:t>ובחינה</w:t>
      </w:r>
      <w:r>
        <w:rPr>
          <w:rtl w:val="true"/>
        </w:rPr>
        <w:t xml:space="preserve"> </w:t>
      </w:r>
      <w:r>
        <w:rPr>
          <w:rtl w:val="true"/>
        </w:rPr>
        <w:t>מדוקדקת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דפוסי</w:t>
      </w:r>
      <w:r>
        <w:rPr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 </w:t>
      </w:r>
      <w:r>
        <w:rPr>
          <w:rtl w:val="true"/>
        </w:rPr>
        <w:t>שהובילו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בתחילת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להעמיק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במקביל</w:t>
      </w:r>
      <w:r>
        <w:rPr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 </w:t>
      </w:r>
      <w:r>
        <w:rPr>
          <w:rtl w:val="true"/>
        </w:rPr>
        <w:t>אצל</w:t>
      </w:r>
      <w:r>
        <w:rPr>
          <w:rtl w:val="true"/>
        </w:rPr>
        <w:t xml:space="preserve"> </w:t>
      </w:r>
      <w:r>
        <w:rPr>
          <w:rtl w:val="true"/>
        </w:rPr>
        <w:t>פסיכותרפיסט</w:t>
      </w:r>
      <w:r>
        <w:rPr>
          <w:rtl w:val="true"/>
        </w:rPr>
        <w:t xml:space="preserve">. </w:t>
      </w:r>
      <w:r>
        <w:rPr>
          <w:rtl w:val="true"/>
        </w:rPr>
        <w:t>המטפל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tl w:val="true"/>
        </w:rPr>
        <w:t xml:space="preserve"> </w:t>
      </w:r>
      <w:r>
        <w:rPr>
          <w:rtl w:val="true"/>
        </w:rPr>
        <w:t>בתכנים</w:t>
      </w:r>
      <w:r>
        <w:rPr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וההתרשמות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המטפל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בתחילתה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 </w:t>
      </w:r>
      <w:r>
        <w:rPr>
          <w:rtl w:val="true"/>
        </w:rPr>
        <w:t>והמליץ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המטפל</w:t>
      </w:r>
      <w:r>
        <w:rPr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 </w:t>
      </w:r>
      <w:r>
        <w:rPr>
          <w:rtl w:val="true"/>
        </w:rPr>
        <w:t>שאם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ימצא</w:t>
      </w:r>
      <w:r>
        <w:rPr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להעמיק</w:t>
      </w:r>
      <w:r>
        <w:rPr>
          <w:rtl w:val="true"/>
        </w:rPr>
        <w:t xml:space="preserve"> </w:t>
      </w:r>
      <w:r>
        <w:rPr>
          <w:rtl w:val="true"/>
        </w:rPr>
        <w:t>עבריינותו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לקשיים</w:t>
      </w:r>
      <w:r>
        <w:rPr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 </w:t>
      </w:r>
      <w:r>
        <w:rPr>
          <w:rtl w:val="true"/>
        </w:rPr>
        <w:t>בתקופת</w:t>
      </w:r>
      <w:r>
        <w:rPr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העלות</w:t>
      </w:r>
      <w:r>
        <w:rPr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 </w:t>
      </w:r>
      <w:r>
        <w:rPr>
          <w:rtl w:val="true"/>
        </w:rPr>
        <w:t>הגבוהה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הבעת</w:t>
      </w:r>
      <w:r>
        <w:rPr>
          <w:rtl w:val="true"/>
        </w:rPr>
        <w:t xml:space="preserve"> </w:t>
      </w:r>
      <w:r>
        <w:rPr>
          <w:rtl w:val="true"/>
        </w:rPr>
        <w:t>המוטיבציה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 </w:t>
      </w:r>
      <w:r>
        <w:rPr>
          <w:rtl w:val="true"/>
        </w:rPr>
        <w:t>ונובעת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 </w:t>
      </w:r>
      <w:r>
        <w:rPr>
          <w:rtl w:val="true"/>
        </w:rPr>
        <w:t>המתנהל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בחודש</w:t>
      </w:r>
      <w:r>
        <w:rPr>
          <w:rtl w:val="true"/>
        </w:rPr>
        <w:t xml:space="preserve"> </w:t>
      </w:r>
      <w:r>
        <w:rPr>
          <w:rtl w:val="true"/>
        </w:rPr>
        <w:t>נובמבר</w:t>
      </w:r>
      <w:r>
        <w:rPr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 </w:t>
      </w:r>
      <w:r>
        <w:rPr>
          <w:rtl w:val="true"/>
        </w:rPr>
        <w:t>אצל</w:t>
      </w:r>
      <w:r>
        <w:rPr>
          <w:rtl w:val="true"/>
        </w:rPr>
        <w:t xml:space="preserve"> </w:t>
      </w:r>
      <w:r>
        <w:rPr>
          <w:rtl w:val="true"/>
        </w:rPr>
        <w:t>קבלן</w:t>
      </w:r>
      <w:r>
        <w:rPr>
          <w:rtl w:val="true"/>
        </w:rPr>
        <w:t xml:space="preserve"> </w:t>
      </w:r>
      <w:r>
        <w:rPr>
          <w:rtl w:val="true"/>
        </w:rPr>
        <w:t>לעבודות</w:t>
      </w:r>
      <w:r>
        <w:rPr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. </w:t>
      </w:r>
      <w:r>
        <w:rPr>
          <w:rtl w:val="true"/>
        </w:rPr>
        <w:t>מהמלצת</w:t>
      </w:r>
      <w:r>
        <w:rPr>
          <w:rtl w:val="true"/>
        </w:rPr>
        <w:t xml:space="preserve"> </w:t>
      </w:r>
      <w:r>
        <w:rPr>
          <w:rtl w:val="true"/>
        </w:rPr>
        <w:t>המעסיק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אמין</w:t>
      </w:r>
      <w:r>
        <w:rPr>
          <w:rtl w:val="true"/>
        </w:rPr>
        <w:t xml:space="preserve"> </w:t>
      </w:r>
      <w:r>
        <w:rPr>
          <w:rtl w:val="true"/>
        </w:rPr>
        <w:t>ויעיל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ולקח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tl w:val="true"/>
        </w:rPr>
        <w:t xml:space="preserve"> </w:t>
      </w:r>
      <w:r>
        <w:rPr>
          <w:rtl w:val="true"/>
        </w:rPr>
        <w:t>ההלם</w:t>
      </w:r>
      <w:r>
        <w:rPr>
          <w:rtl w:val="true"/>
        </w:rPr>
        <w:t xml:space="preserve"> </w:t>
      </w:r>
      <w:r>
        <w:rPr>
          <w:rtl w:val="true"/>
        </w:rPr>
        <w:t>ומכר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לבקשת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 </w:t>
      </w:r>
      <w:r>
        <w:rPr>
          <w:rtl w:val="true"/>
        </w:rPr>
        <w:t>למשפחת</w:t>
      </w:r>
      <w:r>
        <w:rPr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 </w:t>
      </w:r>
      <w:r>
        <w:rPr>
          <w:rtl w:val="true"/>
        </w:rPr>
        <w:t>שהייתה</w:t>
      </w:r>
      <w:r>
        <w:rPr>
          <w:rtl w:val="true"/>
        </w:rPr>
        <w:t xml:space="preserve"> </w:t>
      </w:r>
      <w:r>
        <w:rPr>
          <w:rtl w:val="true"/>
        </w:rPr>
        <w:t>שרויה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מהלקאה</w:t>
      </w:r>
      <w:r>
        <w:rPr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מתסכול</w:t>
      </w:r>
      <w:r>
        <w:rPr>
          <w:rtl w:val="true"/>
        </w:rPr>
        <w:t xml:space="preserve"> </w:t>
      </w:r>
      <w:r>
        <w:rPr>
          <w:rtl w:val="true"/>
        </w:rPr>
        <w:t>וכעס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הבושה</w:t>
      </w:r>
      <w:r>
        <w:rPr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הכשל</w:t>
      </w:r>
      <w:r>
        <w:rPr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מפקדיו</w:t>
      </w:r>
      <w:r>
        <w:rPr>
          <w:rtl w:val="true"/>
        </w:rPr>
        <w:t xml:space="preserve">, </w:t>
      </w:r>
      <w:r>
        <w:rPr>
          <w:rtl w:val="true"/>
        </w:rPr>
        <w:t>הצבא</w:t>
      </w:r>
      <w:r>
        <w:rPr>
          <w:rtl w:val="true"/>
        </w:rPr>
        <w:t xml:space="preserve"> </w:t>
      </w:r>
      <w:r>
        <w:rPr>
          <w:rtl w:val="true"/>
        </w:rPr>
        <w:t>ומדינת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 </w:t>
      </w:r>
      <w:r>
        <w:rPr>
          <w:rtl w:val="true"/>
        </w:rPr>
        <w:t>מעמיק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בחירותיו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מנסה</w:t>
      </w:r>
      <w:r>
        <w:rPr>
          <w:rtl w:val="true"/>
        </w:rPr>
        <w:t xml:space="preserve"> </w:t>
      </w:r>
      <w:r>
        <w:rPr>
          <w:rtl w:val="true"/>
        </w:rPr>
        <w:t>להעמיק</w:t>
      </w:r>
      <w:r>
        <w:rPr>
          <w:rtl w:val="true"/>
        </w:rPr>
        <w:t xml:space="preserve"> </w:t>
      </w:r>
      <w:r>
        <w:rPr>
          <w:rtl w:val="true"/>
        </w:rPr>
        <w:t>וללמוד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דפוסי</w:t>
      </w:r>
      <w:r>
        <w:rPr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 </w:t>
      </w:r>
      <w:r>
        <w:rPr>
          <w:rtl w:val="true"/>
        </w:rPr>
        <w:t>שהובילוהו</w:t>
      </w:r>
      <w:r>
        <w:rPr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בדפוס</w:t>
      </w:r>
      <w:r>
        <w:rPr>
          <w:rtl w:val="true"/>
        </w:rPr>
        <w:t xml:space="preserve"> </w:t>
      </w:r>
      <w:r>
        <w:rPr>
          <w:rtl w:val="true"/>
        </w:rPr>
        <w:t>ריצוי</w:t>
      </w:r>
      <w:r>
        <w:rPr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 </w:t>
      </w:r>
      <w:r>
        <w:rPr>
          <w:rtl w:val="true"/>
        </w:rPr>
        <w:t>שמאפיין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דימויו</w:t>
      </w:r>
      <w:r>
        <w:rPr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קשייו</w:t>
      </w:r>
      <w:r>
        <w:rPr>
          <w:rtl w:val="true"/>
        </w:rPr>
        <w:t xml:space="preserve"> </w:t>
      </w:r>
      <w:r>
        <w:rPr>
          <w:rtl w:val="true"/>
        </w:rPr>
        <w:t>לשתף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בכוונותיו</w:t>
      </w:r>
      <w:r>
        <w:rPr>
          <w:rtl w:val="true"/>
        </w:rPr>
        <w:t xml:space="preserve"> </w:t>
      </w:r>
      <w:r>
        <w:rPr>
          <w:rtl w:val="true"/>
        </w:rPr>
        <w:t>ותחושותיו</w:t>
      </w:r>
      <w:r>
        <w:rPr>
          <w:rtl w:val="true"/>
        </w:rPr>
        <w:t xml:space="preserve">, </w:t>
      </w:r>
      <w:r>
        <w:rPr>
          <w:rtl w:val="true"/>
        </w:rPr>
        <w:t>הכוח</w:t>
      </w:r>
      <w:r>
        <w:rPr>
          <w:rtl w:val="true"/>
        </w:rPr>
        <w:t xml:space="preserve"> </w:t>
      </w:r>
      <w:r>
        <w:rPr>
          <w:rtl w:val="true"/>
        </w:rPr>
        <w:t>והביטחון</w:t>
      </w:r>
      <w:r>
        <w:rPr>
          <w:rtl w:val="true"/>
        </w:rPr>
        <w:t xml:space="preserve"> </w:t>
      </w:r>
      <w:r>
        <w:rPr>
          <w:rtl w:val="true"/>
        </w:rPr>
        <w:t>שהשרות</w:t>
      </w:r>
      <w:r>
        <w:rPr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ורצונו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 </w:t>
      </w:r>
      <w:r>
        <w:rPr>
          <w:rtl w:val="true"/>
        </w:rPr>
        <w:t>למשפחת</w:t>
      </w:r>
      <w:r>
        <w:rPr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שעמדו</w:t>
      </w:r>
      <w:r>
        <w:rPr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וגרמו</w:t>
      </w:r>
      <w:r>
        <w:rPr>
          <w:rtl w:val="true"/>
        </w:rPr>
        <w:t xml:space="preserve"> </w:t>
      </w:r>
      <w:r>
        <w:rPr>
          <w:rtl w:val="true"/>
        </w:rPr>
        <w:t>לטשטוש</w:t>
      </w:r>
      <w:r>
        <w:rPr>
          <w:rtl w:val="true"/>
        </w:rPr>
        <w:t xml:space="preserve"> </w:t>
      </w:r>
      <w:r>
        <w:rPr>
          <w:rtl w:val="true"/>
        </w:rPr>
        <w:t>הגבולות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החוויה</w:t>
      </w:r>
      <w:r>
        <w:rPr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נוטה</w:t>
      </w:r>
      <w:r>
        <w:rPr>
          <w:rtl w:val="true"/>
        </w:rPr>
        <w:t xml:space="preserve"> </w:t>
      </w:r>
      <w:r>
        <w:rPr>
          <w:rtl w:val="true"/>
        </w:rPr>
        <w:t>ומוכן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 </w:t>
      </w:r>
      <w:r>
        <w:rPr>
          <w:rtl w:val="true"/>
        </w:rPr>
        <w:t>והכוונה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סיכומו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tl w:val="true"/>
        </w:rPr>
        <w:t xml:space="preserve">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דחיית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להמשך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ועבודה</w:t>
      </w:r>
      <w:r>
        <w:rPr>
          <w:rtl w:val="true"/>
        </w:rPr>
        <w:t xml:space="preserve"> </w:t>
      </w:r>
      <w:r>
        <w:rPr>
          <w:rtl w:val="true"/>
        </w:rPr>
        <w:t>מעמיקה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ומתוך</w:t>
      </w:r>
      <w:r>
        <w:rPr>
          <w:rtl w:val="true"/>
        </w:rPr>
        <w:t xml:space="preserve"> </w:t>
      </w:r>
      <w:r>
        <w:rPr>
          <w:rtl w:val="true"/>
        </w:rPr>
        <w:t>הערכה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כוחותיו</w:t>
      </w:r>
      <w:r>
        <w:rPr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יעמדו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שיקבל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 </w:t>
      </w:r>
      <w:r>
        <w:rPr>
          <w:rtl w:val="true"/>
        </w:rPr>
        <w:t>מדווחת</w:t>
      </w:r>
      <w:r>
        <w:rPr>
          <w:rtl w:val="true"/>
        </w:rPr>
        <w:t xml:space="preserve">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tl w:val="true"/>
        </w:rPr>
        <w:t xml:space="preserve"> </w:t>
      </w:r>
      <w:r>
        <w:rPr>
          <w:rtl w:val="true"/>
        </w:rPr>
        <w:t>השתלבותו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 xml:space="preserve"> </w:t>
      </w:r>
      <w:r>
        <w:rPr>
          <w:rtl w:val="true"/>
        </w:rPr>
        <w:t>לאוכלוסיית</w:t>
      </w:r>
      <w:r>
        <w:rPr>
          <w:rtl w:val="true"/>
        </w:rPr>
        <w:t xml:space="preserve"> </w:t>
      </w:r>
      <w:r>
        <w:rPr>
          <w:rtl w:val="true"/>
        </w:rPr>
        <w:t>משתמשים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ובדיקות</w:t>
      </w:r>
      <w:r>
        <w:rPr>
          <w:rtl w:val="true"/>
        </w:rPr>
        <w:t xml:space="preserve"> </w:t>
      </w:r>
      <w:r>
        <w:rPr>
          <w:rtl w:val="true"/>
        </w:rPr>
        <w:t>השתן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שרידי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יולי</w:t>
      </w:r>
      <w:r>
        <w:rPr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שולב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וניכרת</w:t>
      </w:r>
      <w:r>
        <w:rPr>
          <w:rtl w:val="true"/>
        </w:rPr>
        <w:t xml:space="preserve"> </w:t>
      </w:r>
      <w:r>
        <w:rPr>
          <w:rtl w:val="true"/>
        </w:rPr>
        <w:t>התקדמות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 </w:t>
      </w:r>
      <w:r>
        <w:rPr>
          <w:rtl w:val="true"/>
        </w:rPr>
        <w:t>מבחינת</w:t>
      </w:r>
      <w:r>
        <w:rPr>
          <w:rtl w:val="true"/>
        </w:rPr>
        <w:t xml:space="preserve"> </w:t>
      </w:r>
      <w:r>
        <w:rPr>
          <w:rtl w:val="true"/>
        </w:rPr>
        <w:t>חשיפה</w:t>
      </w:r>
      <w:r>
        <w:rPr>
          <w:rtl w:val="true"/>
        </w:rPr>
        <w:t xml:space="preserve"> </w:t>
      </w:r>
      <w:r>
        <w:rPr>
          <w:rtl w:val="true"/>
        </w:rPr>
        <w:t>והתבוננות</w:t>
      </w:r>
      <w:r>
        <w:rPr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נורמות</w:t>
      </w:r>
      <w:r>
        <w:rPr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בשיחה</w:t>
      </w:r>
      <w:r>
        <w:rPr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הפסיכותרפיסט</w:t>
      </w:r>
      <w:r>
        <w:rPr>
          <w:rtl w:val="true"/>
        </w:rPr>
        <w:t xml:space="preserve"> </w:t>
      </w:r>
      <w:r>
        <w:rPr>
          <w:rtl w:val="true"/>
        </w:rPr>
        <w:t>שטיפל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ממשיך</w:t>
      </w:r>
      <w:r>
        <w:rPr>
          <w:rtl w:val="true"/>
        </w:rPr>
        <w:t xml:space="preserve"> </w:t>
      </w:r>
      <w:r>
        <w:rPr>
          <w:rtl w:val="true"/>
        </w:rPr>
        <w:t>בשיתוף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 </w:t>
      </w:r>
      <w:r>
        <w:rPr>
          <w:rtl w:val="true"/>
        </w:rPr>
        <w:t>ועושה</w:t>
      </w:r>
      <w:r>
        <w:rPr>
          <w:rtl w:val="true"/>
        </w:rPr>
        <w:t xml:space="preserve"> </w:t>
      </w:r>
      <w:r>
        <w:rPr>
          <w:rtl w:val="true"/>
        </w:rPr>
        <w:t>מאמץ</w:t>
      </w:r>
      <w:r>
        <w:rPr>
          <w:rtl w:val="true"/>
        </w:rPr>
        <w:t xml:space="preserve"> </w:t>
      </w:r>
      <w:r>
        <w:rPr>
          <w:rtl w:val="true"/>
        </w:rPr>
        <w:t>לערוך</w:t>
      </w:r>
      <w:r>
        <w:rPr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 </w:t>
      </w:r>
      <w:r>
        <w:rPr>
          <w:rtl w:val="true"/>
        </w:rPr>
        <w:t>והבנת</w:t>
      </w:r>
      <w:r>
        <w:rPr>
          <w:rtl w:val="true"/>
        </w:rPr>
        <w:t xml:space="preserve"> </w:t>
      </w:r>
      <w:r>
        <w:rPr>
          <w:rtl w:val="true"/>
        </w:rPr>
        <w:t>כשלים</w:t>
      </w:r>
      <w:r>
        <w:rPr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מתנדב</w:t>
      </w:r>
      <w:r>
        <w:rPr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 </w:t>
      </w:r>
      <w:r>
        <w:rPr>
          <w:rtl w:val="true"/>
        </w:rPr>
        <w:t>עירונית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tl w:val="true"/>
        </w:rPr>
        <w:t xml:space="preserve"> </w:t>
      </w:r>
      <w:r>
        <w:rPr>
          <w:rtl w:val="true"/>
        </w:rPr>
        <w:t>המטפל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נורמות</w:t>
      </w:r>
      <w:r>
        <w:rPr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 </w:t>
      </w:r>
      <w:r>
        <w:rPr>
          <w:rtl w:val="true"/>
        </w:rPr>
        <w:t>וניתן</w:t>
      </w:r>
      <w:r>
        <w:rPr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דפוסי</w:t>
      </w:r>
      <w:r>
        <w:rPr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יוריד</w:t>
      </w:r>
      <w:r>
        <w:rPr>
          <w:rtl w:val="true"/>
        </w:rPr>
        <w:t xml:space="preserve"> </w:t>
      </w:r>
      <w:r>
        <w:rPr>
          <w:rtl w:val="true"/>
        </w:rPr>
        <w:t>לטימיון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מאמץ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ימוטט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ועלול</w:t>
      </w:r>
      <w:r>
        <w:rPr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המליצה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 </w:t>
      </w:r>
      <w:r>
        <w:rPr>
          <w:rtl w:val="true"/>
        </w:rPr>
        <w:t>משליחת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 </w:t>
      </w:r>
      <w:r>
        <w:rPr>
          <w:rtl w:val="true"/>
        </w:rPr>
        <w:t>ולהסתפק</w:t>
      </w:r>
      <w:r>
        <w:rPr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 </w:t>
      </w:r>
      <w:r>
        <w:rPr>
          <w:rtl w:val="true"/>
        </w:rPr>
        <w:t>שירוצה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זימן</w:t>
      </w:r>
      <w:r>
        <w:rPr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בביתה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שוהה</w:t>
      </w:r>
      <w:r>
        <w:rPr>
          <w:rtl w:val="true"/>
        </w:rPr>
        <w:t xml:space="preserve"> </w:t>
      </w:r>
      <w:r>
        <w:rPr>
          <w:rtl w:val="true"/>
        </w:rPr>
        <w:t>בתנאי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סיפרה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זקונים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זכה</w:t>
      </w:r>
      <w:r>
        <w:rPr>
          <w:rtl w:val="true"/>
        </w:rPr>
        <w:t xml:space="preserve"> </w:t>
      </w:r>
      <w:r>
        <w:rPr>
          <w:rtl w:val="true"/>
        </w:rPr>
        <w:t>למלוא</w:t>
      </w:r>
      <w:r>
        <w:rPr>
          <w:rtl w:val="true"/>
        </w:rPr>
        <w:t xml:space="preserve"> </w:t>
      </w:r>
      <w:r>
        <w:rPr>
          <w:rtl w:val="true"/>
        </w:rPr>
        <w:t>היחס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והמשפחה</w:t>
      </w:r>
      <w:r>
        <w:rPr>
          <w:rtl w:val="true"/>
        </w:rPr>
        <w:t xml:space="preserve"> </w:t>
      </w:r>
      <w:r>
        <w:rPr>
          <w:rtl w:val="true"/>
        </w:rPr>
        <w:t>מכה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tl w:val="true"/>
        </w:rPr>
        <w:t xml:space="preserve"> </w:t>
      </w:r>
      <w:r>
        <w:rPr>
          <w:rtl w:val="true"/>
        </w:rPr>
        <w:t>עדה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משתף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ומנהל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שעובר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הפחדים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סיפרה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עבודת</w:t>
      </w:r>
      <w:r>
        <w:rPr>
          <w:rtl w:val="true"/>
        </w:rPr>
        <w:t xml:space="preserve"> </w:t>
      </w:r>
      <w:r>
        <w:rPr>
          <w:rtl w:val="true"/>
        </w:rPr>
        <w:t>ההתנדבות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 </w:t>
      </w:r>
      <w:r>
        <w:rPr>
          <w:rtl w:val="true"/>
        </w:rPr>
        <w:t>שהלך</w:t>
      </w:r>
      <w:r>
        <w:rPr>
          <w:rtl w:val="true"/>
        </w:rPr>
        <w:t xml:space="preserve"> </w:t>
      </w:r>
      <w:r>
        <w:rPr>
          <w:rtl w:val="true"/>
        </w:rPr>
        <w:t>והתגבר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. </w:t>
      </w:r>
      <w:r>
        <w:rPr>
          <w:rtl w:val="true"/>
        </w:rPr>
        <w:t>בשנה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 </w:t>
      </w:r>
      <w:r>
        <w:rPr>
          <w:rtl w:val="true"/>
        </w:rPr>
        <w:t>הערכה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 </w:t>
      </w:r>
      <w:r>
        <w:rPr>
          <w:rtl w:val="true"/>
        </w:rPr>
        <w:t>וכתב</w:t>
      </w:r>
      <w:r>
        <w:rPr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 xml:space="preserve"> </w:t>
      </w:r>
      <w:r>
        <w:rPr>
          <w:rtl w:val="true"/>
        </w:rPr>
        <w:t>צדוק</w:t>
      </w:r>
      <w:r>
        <w:rPr>
          <w:rtl w:val="true"/>
        </w:rPr>
        <w:t xml:space="preserve"> </w:t>
      </w:r>
      <w:r>
        <w:rPr>
          <w:rtl w:val="true"/>
        </w:rPr>
        <w:t>אורן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תחום</w:t>
      </w:r>
      <w:r>
        <w:rPr>
          <w:rtl w:val="true"/>
        </w:rPr>
        <w:t xml:space="preserve"> </w:t>
      </w:r>
      <w:r>
        <w:rPr>
          <w:rtl w:val="true"/>
        </w:rPr>
        <w:t>אולטרא</w:t>
      </w:r>
      <w:r>
        <w:rPr>
          <w:rtl w:val="true"/>
        </w:rPr>
        <w:t xml:space="preserve"> </w:t>
      </w:r>
      <w:r>
        <w:rPr>
          <w:rtl w:val="true"/>
        </w:rPr>
        <w:t>סאונד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יוספטל</w:t>
      </w:r>
      <w:r>
        <w:rPr>
          <w:rtl w:val="true"/>
        </w:rPr>
        <w:t xml:space="preserve">" </w:t>
      </w:r>
      <w:r>
        <w:rPr>
          <w:rtl w:val="true"/>
        </w:rPr>
        <w:t>באילת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הצד</w:t>
      </w:r>
      <w:r>
        <w:rPr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גישתו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מעסיקו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המוטיבציה</w:t>
      </w:r>
      <w:r>
        <w:rPr>
          <w:rtl w:val="true"/>
        </w:rPr>
        <w:t xml:space="preserve"> </w:t>
      </w:r>
      <w:r>
        <w:rPr>
          <w:rtl w:val="true"/>
        </w:rPr>
        <w:t>הגבוהה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ולעבוד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tl w:val="true"/>
        </w:rPr>
        <w:t xml:space="preserve"> </w:t>
      </w:r>
      <w:r>
        <w:rPr>
          <w:rtl w:val="true"/>
        </w:rPr>
        <w:t>תינתן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ההזדמנות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ולהעסיקו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ששירת</w:t>
      </w:r>
      <w:r>
        <w:rPr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שפגיעתן</w:t>
      </w:r>
      <w:r>
        <w:rPr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פוגעות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באמון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בארגון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ובסדרי</w:t>
      </w:r>
      <w:r>
        <w:rPr>
          <w:rtl w:val="true"/>
        </w:rPr>
        <w:t xml:space="preserve"> </w:t>
      </w:r>
      <w:r>
        <w:rPr>
          <w:rtl w:val="true"/>
        </w:rPr>
        <w:t>השלטון</w:t>
      </w:r>
      <w:r>
        <w:rPr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 </w:t>
      </w:r>
      <w:r>
        <w:rPr>
          <w:rtl w:val="true"/>
        </w:rPr>
        <w:t>באמון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ופגע</w:t>
      </w:r>
      <w:r>
        <w:rPr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האיש</w:t>
      </w:r>
      <w:r>
        <w:rPr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והעבירות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מתבצעות</w:t>
      </w:r>
      <w:r>
        <w:rPr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בהתייחסו</w:t>
      </w:r>
      <w:r>
        <w:rPr>
          <w:rtl w:val="true"/>
        </w:rPr>
        <w:t xml:space="preserve"> </w:t>
      </w:r>
      <w:r>
        <w:rPr>
          <w:rtl w:val="true"/>
        </w:rPr>
        <w:t>לתסקירי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עמדת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ושיקולי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נסוגים</w:t>
      </w:r>
      <w:r>
        <w:rPr>
          <w:rtl w:val="true"/>
        </w:rPr>
        <w:t xml:space="preserve"> </w:t>
      </w:r>
      <w:r>
        <w:rPr>
          <w:rtl w:val="true"/>
        </w:rPr>
        <w:t>למול</w:t>
      </w:r>
      <w:r>
        <w:rPr>
          <w:rtl w:val="true"/>
        </w:rPr>
        <w:t xml:space="preserve"> </w:t>
      </w:r>
      <w:r>
        <w:rPr>
          <w:rtl w:val="true"/>
        </w:rPr>
        <w:t>האינטרס</w:t>
      </w:r>
      <w:r>
        <w:rPr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 </w:t>
      </w:r>
      <w:r>
        <w:rPr>
          <w:rtl w:val="true"/>
        </w:rPr>
        <w:t>המחייב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עמדת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ועבירות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המצויות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מבחינתן</w:t>
      </w:r>
      <w:r>
        <w:rPr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 </w:t>
      </w:r>
      <w:r>
        <w:rPr>
          <w:rtl w:val="true"/>
        </w:rPr>
        <w:t>הסוחר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ובסמים</w:t>
      </w:r>
      <w:r>
        <w:rPr>
          <w:rtl w:val="true"/>
        </w:rPr>
        <w:t xml:space="preserve"> </w:t>
      </w:r>
      <w:r>
        <w:rPr>
          <w:rtl w:val="true"/>
        </w:rPr>
        <w:t>והסם</w:t>
      </w:r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והבעת</w:t>
      </w:r>
      <w:r>
        <w:rPr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 </w:t>
      </w:r>
      <w:r>
        <w:rPr>
          <w:rtl w:val="true"/>
        </w:rPr>
        <w:t>ולהליך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שיחרורו</w:t>
      </w:r>
      <w:r>
        <w:rPr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לשיטתו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 </w:t>
      </w:r>
      <w:r>
        <w:rPr>
          <w:rtl w:val="true"/>
        </w:rPr>
        <w:t>מבחינת</w:t>
      </w:r>
      <w:r>
        <w:rPr>
          <w:rtl w:val="true"/>
        </w:rPr>
        <w:t xml:space="preserve"> </w:t>
      </w:r>
      <w:r>
        <w:rPr>
          <w:rtl w:val="true"/>
        </w:rPr>
        <w:t>שיתוף</w:t>
      </w:r>
      <w:r>
        <w:rPr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ותוצאותיו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והאינטרס</w:t>
      </w:r>
      <w:r>
        <w:rPr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מהטלת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ולקבל</w:t>
      </w:r>
      <w:r>
        <w:rPr>
          <w:rtl w:val="true"/>
        </w:rPr>
        <w:t xml:space="preserve"> 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הגישו</w:t>
      </w:r>
      <w:r>
        <w:rPr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 </w:t>
      </w:r>
      <w:r>
        <w:rPr>
          <w:rtl w:val="true"/>
        </w:rPr>
        <w:t>שהתייחסה</w:t>
      </w:r>
      <w:r>
        <w:rPr>
          <w:rtl w:val="true"/>
        </w:rPr>
        <w:t xml:space="preserve"> </w:t>
      </w:r>
      <w:r>
        <w:rPr>
          <w:rtl w:val="true"/>
        </w:rPr>
        <w:t>בעיקרה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וסחר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tl w:val="true"/>
        </w:rPr>
        <w:t xml:space="preserve"> </w:t>
      </w:r>
      <w:r>
        <w:rPr>
          <w:rtl w:val="true"/>
        </w:rPr>
        <w:t>מפסקי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מתייחסים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העדיף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השיקול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 </w:t>
      </w:r>
      <w:r>
        <w:rPr>
          <w:rtl w:val="true"/>
        </w:rPr>
        <w:t>והגמול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tl w:val="true"/>
        </w:rPr>
        <w:t xml:space="preserve"> </w:t>
      </w:r>
      <w:r>
        <w:rPr>
          <w:rtl w:val="true"/>
        </w:rPr>
        <w:t>שתינתן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במעידה</w:t>
      </w:r>
      <w:r>
        <w:rPr>
          <w:rtl w:val="true"/>
        </w:rPr>
        <w:t xml:space="preserve"> </w:t>
      </w:r>
      <w:r>
        <w:rPr>
          <w:rtl w:val="true"/>
        </w:rPr>
        <w:t>ובחרטה</w:t>
      </w:r>
      <w:r>
        <w:rPr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גזרי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 </w:t>
      </w:r>
      <w:r>
        <w:rPr>
          <w:rtl w:val="true"/>
        </w:rPr>
        <w:t>ואבנר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 –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 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 </w:t>
      </w:r>
      <w:r>
        <w:rPr>
          <w:rtl w:val="true"/>
        </w:rPr>
        <w:t>שעניינם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למכירת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), </w:t>
      </w:r>
      <w:r>
        <w:rPr>
          <w:rtl w:val="true"/>
        </w:rPr>
        <w:t>סחר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ושתי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אבנר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רכישת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וסחר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ונדון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ולעונשים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חומרתו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נעוצה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ששירת</w:t>
      </w:r>
      <w:r>
        <w:rPr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וניצל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שבמקרים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הפוגעות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באמון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ובאמון</w:t>
      </w:r>
      <w:r>
        <w:rPr>
          <w:rtl w:val="true"/>
        </w:rPr>
        <w:t xml:space="preserve"> </w:t>
      </w:r>
      <w:r>
        <w:rPr>
          <w:rtl w:val="true"/>
        </w:rPr>
        <w:t>שנותנים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ייגזר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הפר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האמון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tl w:val="true"/>
        </w:rPr>
        <w:t xml:space="preserve"> </w:t>
      </w:r>
      <w:r>
        <w:rPr>
          <w:rtl w:val="true"/>
        </w:rPr>
        <w:t>מחדר</w:t>
      </w:r>
      <w:r>
        <w:rPr>
          <w:rtl w:val="true"/>
        </w:rPr>
        <w:t xml:space="preserve"> </w:t>
      </w:r>
      <w:r>
        <w:rPr>
          <w:rtl w:val="true"/>
        </w:rPr>
        <w:t>הכוננות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 </w:t>
      </w:r>
      <w:r>
        <w:rPr>
          <w:rtl w:val="true"/>
        </w:rPr>
        <w:t>ומכר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 </w:t>
      </w:r>
      <w:r>
        <w:rPr>
          <w:rtl w:val="true"/>
        </w:rPr>
        <w:t>נמכר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בשווי</w:t>
      </w:r>
      <w:r>
        <w:rPr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 –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 </w:t>
      </w:r>
      <w:r>
        <w:rPr>
          <w:rtl w:val="true"/>
        </w:rPr>
        <w:t>והחזיקם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נכשל</w:t>
      </w:r>
      <w:r>
        <w:rPr>
          <w:rtl w:val="true"/>
        </w:rPr>
        <w:t xml:space="preserve"> </w:t>
      </w:r>
      <w:r>
        <w:rPr>
          <w:rtl w:val="true"/>
        </w:rPr>
        <w:t>כשלון</w:t>
      </w:r>
      <w:r>
        <w:rPr>
          <w:rtl w:val="true"/>
        </w:rPr>
        <w:t xml:space="preserve"> </w:t>
      </w:r>
      <w:r>
        <w:rPr>
          <w:rtl w:val="true"/>
        </w:rPr>
        <w:t>חרוץ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המתמקד</w:t>
      </w:r>
      <w:r>
        <w:rPr>
          <w:rtl w:val="true"/>
        </w:rPr>
        <w:t xml:space="preserve"> </w:t>
      </w:r>
      <w:r>
        <w:rPr>
          <w:rtl w:val="true"/>
        </w:rPr>
        <w:t>בפרק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בהתנהלות</w:t>
      </w:r>
      <w:r>
        <w:rPr>
          <w:rtl w:val="true"/>
        </w:rPr>
        <w:t xml:space="preserve"> </w:t>
      </w:r>
      <w:r>
        <w:rPr>
          <w:rtl w:val="true"/>
        </w:rPr>
        <w:t>שנמשכה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ובאף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מהרגעים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לחשוב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ההשלכות</w:t>
      </w:r>
      <w:r>
        <w:rPr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 </w:t>
      </w:r>
      <w:r>
        <w:rPr>
          <w:rtl w:val="true"/>
        </w:rPr>
        <w:t>העולות</w:t>
      </w:r>
      <w:r>
        <w:rPr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באמצעי</w:t>
      </w:r>
      <w:r>
        <w:rPr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ספיירים</w:t>
      </w:r>
      <w:r>
        <w:rPr>
          <w:rtl w:val="true"/>
        </w:rPr>
        <w:t xml:space="preserve">" </w:t>
      </w:r>
      <w:r>
        <w:rPr>
          <w:rtl w:val="true"/>
        </w:rPr>
        <w:t>ששימשה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שלוחם</w:t>
      </w:r>
      <w:r>
        <w:rPr>
          <w:rtl w:val="true"/>
        </w:rPr>
        <w:t xml:space="preserve"> </w:t>
      </w:r>
      <w:r>
        <w:rPr>
          <w:rtl w:val="true"/>
        </w:rPr>
        <w:t>ביחידה</w:t>
      </w:r>
      <w:r>
        <w:rPr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 </w:t>
      </w:r>
      <w:r>
        <w:rPr>
          <w:rtl w:val="true"/>
        </w:rPr>
        <w:t>ציוד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גנב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הציוד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בסחר</w:t>
      </w:r>
      <w:r>
        <w:rPr>
          <w:rtl w:val="true"/>
        </w:rPr>
        <w:t xml:space="preserve"> </w:t>
      </w:r>
      <w:r>
        <w:rPr>
          <w:rtl w:val="true"/>
        </w:rPr>
        <w:t>ברימוני</w:t>
      </w:r>
      <w:r>
        <w:rPr>
          <w:rtl w:val="true"/>
        </w:rPr>
        <w:t xml:space="preserve"> </w:t>
      </w:r>
      <w:r>
        <w:rPr>
          <w:rtl w:val="true"/>
        </w:rPr>
        <w:t>ההלם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סיפוק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הפך</w:t>
      </w:r>
      <w:r>
        <w:rPr>
          <w:rtl w:val="true"/>
        </w:rPr>
        <w:t xml:space="preserve"> </w:t>
      </w:r>
      <w:r>
        <w:rPr>
          <w:rtl w:val="true"/>
        </w:rPr>
        <w:t>ממי</w:t>
      </w:r>
      <w:r>
        <w:rPr>
          <w:rtl w:val="true"/>
        </w:rPr>
        <w:t xml:space="preserve"> </w:t>
      </w:r>
      <w:r>
        <w:rPr>
          <w:rtl w:val="true"/>
        </w:rPr>
        <w:t>שתפקידו</w:t>
      </w:r>
      <w:r>
        <w:rPr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לאדם</w:t>
      </w:r>
      <w:r>
        <w:rPr>
          <w:rtl w:val="true"/>
        </w:rPr>
        <w:t xml:space="preserve"> </w:t>
      </w:r>
      <w:r>
        <w:rPr>
          <w:rtl w:val="true"/>
        </w:rPr>
        <w:t>שהציבור</w:t>
      </w:r>
      <w:r>
        <w:rPr>
          <w:rtl w:val="true"/>
        </w:rPr>
        <w:t xml:space="preserve"> </w:t>
      </w:r>
      <w:r>
        <w:rPr>
          <w:rtl w:val="true"/>
        </w:rPr>
        <w:t>זקוק</w:t>
      </w:r>
      <w:r>
        <w:rPr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הסמכות</w:t>
      </w:r>
      <w:r>
        <w:rPr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 </w:t>
      </w:r>
      <w:r>
        <w:rPr>
          <w:rtl w:val="true"/>
        </w:rPr>
        <w:t>הנתונה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 </w:t>
      </w:r>
      <w:r>
        <w:rPr>
          <w:rtl w:val="true"/>
        </w:rPr>
        <w:t>לאכיפת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משמעותה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חובת</w:t>
      </w:r>
      <w:r>
        <w:rPr>
          <w:rtl w:val="true"/>
        </w:rPr>
        <w:t xml:space="preserve"> </w:t>
      </w:r>
      <w:r>
        <w:rPr>
          <w:rtl w:val="true"/>
        </w:rPr>
        <w:t>נאמנות</w:t>
      </w:r>
      <w:r>
        <w:rPr>
          <w:rtl w:val="true"/>
        </w:rPr>
        <w:t xml:space="preserve"> </w:t>
      </w:r>
      <w:r>
        <w:rPr>
          <w:rtl w:val="true"/>
        </w:rPr>
        <w:t>מוגברת</w:t>
      </w:r>
      <w:r>
        <w:rPr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hyperlink r:id="rId5">
        <w:r>
          <w:rPr>
            <w:rStyle w:val="Hyperlink"/>
            <w:color w:val="0000FF"/>
            <w:u w:val="single"/>
          </w:rPr>
          <w:t>1332/04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מדינת ישראל 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רפאל פאס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נח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126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ומהעברתו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בין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והסכנה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>...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7124/06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ויקטור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דרורי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1254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שהגם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לרימוני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ממית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נועדו</w:t>
      </w:r>
      <w:r>
        <w:rPr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 xml:space="preserve"> </w:t>
      </w:r>
      <w:r>
        <w:rPr>
          <w:rtl w:val="true"/>
        </w:rPr>
        <w:t>נוחות</w:t>
      </w:r>
      <w:r>
        <w:rPr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להניסו</w:t>
      </w:r>
      <w:r>
        <w:rPr>
          <w:rtl w:val="true"/>
        </w:rPr>
        <w:t xml:space="preserve"> </w:t>
      </w:r>
      <w:r>
        <w:rPr>
          <w:rtl w:val="true"/>
        </w:rPr>
        <w:t>ממקום</w:t>
      </w:r>
      <w:r>
        <w:rPr>
          <w:rtl w:val="true"/>
        </w:rPr>
        <w:t xml:space="preserve"> </w:t>
      </w:r>
      <w:r>
        <w:rPr>
          <w:rtl w:val="true"/>
        </w:rPr>
        <w:t>הימצאו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הנגרם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 </w:t>
      </w:r>
      <w:r>
        <w:rPr>
          <w:rtl w:val="true"/>
        </w:rPr>
        <w:t>הנגרם</w:t>
      </w:r>
      <w:r>
        <w:rPr>
          <w:rtl w:val="true"/>
        </w:rPr>
        <w:t xml:space="preserve"> </w:t>
      </w:r>
      <w:r>
        <w:rPr>
          <w:rtl w:val="true"/>
        </w:rPr>
        <w:t>מרימון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גורם</w:t>
      </w:r>
      <w:r>
        <w:rPr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 </w:t>
      </w:r>
      <w:r>
        <w:rPr>
          <w:rtl w:val="true"/>
        </w:rPr>
        <w:t>בעצם</w:t>
      </w:r>
      <w:r>
        <w:rPr>
          <w:rtl w:val="true"/>
        </w:rPr>
        <w:t xml:space="preserve"> </w:t>
      </w:r>
      <w:r>
        <w:rPr>
          <w:rtl w:val="true"/>
        </w:rPr>
        <w:t>טשטושו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והכנסתו</w:t>
      </w:r>
      <w:r>
        <w:rPr>
          <w:rtl w:val="true"/>
        </w:rPr>
        <w:t xml:space="preserve"> </w:t>
      </w:r>
      <w:r>
        <w:rPr>
          <w:rtl w:val="true"/>
        </w:rPr>
        <w:t>למצב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דירוגו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שפורטה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אשקול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tl w:val="true"/>
        </w:rPr>
        <w:t xml:space="preserve"> </w:t>
      </w:r>
      <w:r>
        <w:rPr>
          <w:rtl w:val="true"/>
        </w:rPr>
        <w:t>ולקיחת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 xml:space="preserve">העדר עבר פלילי והעובדה שמדובר במאסר ראשון </w:t>
      </w:r>
      <w:r>
        <w:rPr>
          <w:rtl w:val="true"/>
        </w:rPr>
        <w:t>וכמובן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 </w:t>
      </w:r>
      <w:r>
        <w:rPr>
          <w:rtl w:val="true"/>
        </w:rPr>
        <w:t>החיוביים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רתם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>שנמשך</w:t>
      </w:r>
      <w:r>
        <w:rPr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ולהסתפק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שירוצה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בשילוב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העריכה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כליאתו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תחבל</w:t>
      </w:r>
      <w:r>
        <w:rPr>
          <w:rtl w:val="true"/>
        </w:rPr>
        <w:t xml:space="preserve"> </w:t>
      </w:r>
      <w:r>
        <w:rPr>
          <w:rtl w:val="true"/>
        </w:rPr>
        <w:t>בשיקולי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 </w:t>
      </w:r>
      <w:r>
        <w:rPr>
          <w:rtl w:val="true"/>
        </w:rPr>
        <w:t>הישגיו</w:t>
      </w:r>
      <w:r>
        <w:rPr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 </w:t>
      </w:r>
      <w:r>
        <w:rPr>
          <w:rtl w:val="true"/>
        </w:rPr>
        <w:t>ירדו</w:t>
      </w:r>
      <w:r>
        <w:rPr>
          <w:rtl w:val="true"/>
        </w:rPr>
        <w:t xml:space="preserve"> </w:t>
      </w:r>
      <w:r>
        <w:rPr>
          <w:rtl w:val="true"/>
        </w:rPr>
        <w:t>לטמיון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שעלול</w:t>
      </w:r>
      <w:r>
        <w:rPr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 </w:t>
      </w:r>
      <w:r>
        <w:rPr>
          <w:rtl w:val="true"/>
        </w:rPr>
        <w:t>כאזרח</w:t>
      </w:r>
      <w:r>
        <w:rPr>
          <w:rtl w:val="true"/>
        </w:rPr>
        <w:t xml:space="preserve"> </w:t>
      </w:r>
      <w:r>
        <w:rPr>
          <w:rtl w:val="true"/>
        </w:rPr>
        <w:t>מועיל</w:t>
      </w:r>
      <w:r>
        <w:rPr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ההבנה</w:t>
      </w:r>
      <w:r>
        <w:rPr>
          <w:rtl w:val="true"/>
        </w:rPr>
        <w:t xml:space="preserve"> </w:t>
      </w:r>
      <w:r>
        <w:rPr>
          <w:rtl w:val="true"/>
        </w:rPr>
        <w:t>להמלצת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השמה</w:t>
      </w:r>
      <w:r>
        <w:rPr>
          <w:rtl w:val="true"/>
        </w:rPr>
        <w:t xml:space="preserve"> </w:t>
      </w:r>
      <w:r>
        <w:rPr>
          <w:rtl w:val="true"/>
        </w:rPr>
        <w:t>לנגד</w:t>
      </w:r>
      <w:r>
        <w:rPr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האינטרס</w:t>
      </w:r>
      <w:r>
        <w:rPr>
          <w:rtl w:val="true"/>
        </w:rPr>
        <w:t xml:space="preserve"> </w:t>
      </w:r>
      <w:r>
        <w:rPr>
          <w:rtl w:val="true"/>
        </w:rPr>
        <w:t>הצר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כשמה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לרוב</w:t>
      </w:r>
      <w:r>
        <w:rPr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 </w:t>
      </w:r>
      <w:r>
        <w:rPr>
          <w:rtl w:val="true"/>
        </w:rPr>
        <w:t>במוקדה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זווית</w:t>
      </w:r>
      <w:r>
        <w:rPr>
          <w:rtl w:val="true"/>
        </w:rPr>
        <w:t xml:space="preserve"> </w:t>
      </w:r>
      <w:r>
        <w:rPr>
          <w:rtl w:val="true"/>
        </w:rPr>
        <w:t>הבחינה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ועליו</w:t>
      </w:r>
      <w:r>
        <w:rPr>
          <w:rtl w:val="true"/>
        </w:rPr>
        <w:t xml:space="preserve"> </w:t>
      </w:r>
      <w:r>
        <w:rPr>
          <w:rtl w:val="true"/>
        </w:rPr>
        <w:t>לאזן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126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ממעלה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שהאמון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דבקות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b/>
          <w:bCs/>
          <w:rtl w:val="true"/>
        </w:rPr>
        <w:t>...</w:t>
      </w:r>
      <w:r>
        <w:rPr>
          <w:rtl w:val="true"/>
        </w:rPr>
        <w:t>" (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282/12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שצוטט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 </w:t>
      </w:r>
      <w:r>
        <w:rPr>
          <w:rtl w:val="true"/>
        </w:rPr>
        <w:t>שגנב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 </w:t>
      </w:r>
      <w:r>
        <w:rPr>
          <w:rtl w:val="true"/>
        </w:rPr>
        <w:t>בארבעה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כספת</w:t>
      </w:r>
      <w:r>
        <w:rPr>
          <w:rtl w:val="true"/>
        </w:rPr>
        <w:t xml:space="preserve"> </w:t>
      </w:r>
      <w:r>
        <w:rPr>
          <w:rtl w:val="true"/>
        </w:rPr>
        <w:t>המצויה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 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3242/06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קאסם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ואג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לשמש</w:t>
      </w:r>
      <w:r>
        <w:rPr>
          <w:rtl w:val="true"/>
        </w:rPr>
        <w:t xml:space="preserve"> </w:t>
      </w:r>
      <w:r>
        <w:rPr>
          <w:rtl w:val="true"/>
        </w:rPr>
        <w:t>אסמכתא</w:t>
      </w:r>
      <w:r>
        <w:rPr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 </w:t>
      </w:r>
      <w:r>
        <w:rPr>
          <w:rtl w:val="true"/>
        </w:rPr>
        <w:t>ומיוחד</w:t>
      </w:r>
      <w:r>
        <w:rPr>
          <w:rtl w:val="true"/>
        </w:rPr>
        <w:t>" (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שהגדיר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ופירט</w:t>
      </w:r>
      <w:r>
        <w:rPr>
          <w:rtl w:val="true"/>
        </w:rPr>
        <w:t xml:space="preserve"> </w:t>
      </w:r>
      <w:r>
        <w:rPr>
          <w:rtl w:val="true"/>
        </w:rPr>
        <w:t>ייחודו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לי אלא לקוות שבתום ריצוי העונש ימשיך הנאשם בהליך השיקום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מטילה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975" w:start="1695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/>
        <w:t>21/06/11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20/07/11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975" w:start="1695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75" w:start="169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יחול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נכס</w:t>
      </w:r>
      <w:r>
        <w:rPr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975" w:start="1695" w:end="0"/>
        <w:jc w:val="both"/>
        <w:rPr/>
      </w:pP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מטילה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יאוחר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1.11.12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Arial" w:hAnsi="Arial" w:cs="David"/>
          <w:sz w:val="24"/>
          <w:szCs w:val="24"/>
        </w:rPr>
      </w:pPr>
      <w:r>
        <w:rPr>
          <w:rFonts w:ascii="Arial" w:hAnsi="Arial" w:cs="David"/>
          <w:sz w:val="24"/>
          <w:sz w:val="24"/>
          <w:szCs w:val="24"/>
          <w:rtl w:val="true"/>
        </w:rPr>
        <w:t>בית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מפנה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תשומת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לבם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גורמי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בשירות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הסוהר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להליך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השיקומי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שעבר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ולאמור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בתסקירי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שירות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המבחן</w:t>
      </w:r>
      <w:r>
        <w:rPr>
          <w:rFonts w:cs="David" w:ascii="Arial" w:hAnsi="Arial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Arial" w:hAnsi="Arial" w:cs="David"/>
          <w:b/>
          <w:bCs/>
          <w:sz w:val="24"/>
          <w:szCs w:val="24"/>
        </w:rPr>
      </w:pP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זכות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ערעור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/>
          <w:bCs/>
          <w:sz w:val="24"/>
          <w:szCs w:val="24"/>
        </w:rPr>
        <w:t>45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 w:val="6"/>
          <w:szCs w:val="6"/>
        </w:rPr>
      </w:pPr>
      <w:r>
        <w:rPr>
          <w:rStyle w:val="LineNumber"/>
          <w:rFonts w:cs="David"/>
          <w:sz w:val="6"/>
          <w:szCs w:val="6"/>
          <w:rtl w:val="true"/>
        </w:rPr>
        <w:t>&lt;</w:t>
      </w:r>
      <w:r>
        <w:rPr>
          <w:rStyle w:val="LineNumber"/>
          <w:rFonts w:cs="David"/>
          <w:sz w:val="6"/>
          <w:szCs w:val="6"/>
        </w:rPr>
        <w:t>#6#</w:t>
      </w:r>
      <w:r>
        <w:rPr>
          <w:rStyle w:val="LineNumber"/>
          <w:rFonts w:cs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rFonts w:cs="David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15/10/2012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עדי קידר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אופיר אפרתי</w:t>
      </w:r>
      <w:r>
        <w:rPr>
          <w:b/>
          <w:bCs/>
          <w:rtl w:val="true"/>
        </w:rPr>
        <w:t>.</w:t>
        <w:br/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ק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יניאנו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 w:val="6"/>
          <w:szCs w:val="6"/>
        </w:rPr>
      </w:pPr>
      <w:r>
        <w:rPr>
          <w:rStyle w:val="LineNumber"/>
          <w:rFonts w:cs="David"/>
          <w:sz w:val="6"/>
          <w:szCs w:val="6"/>
          <w:rtl w:val="true"/>
        </w:rPr>
        <w:t>&lt;</w:t>
      </w:r>
      <w:r>
        <w:rPr>
          <w:rStyle w:val="LineNumber"/>
          <w:rFonts w:cs="David"/>
          <w:sz w:val="6"/>
          <w:szCs w:val="6"/>
        </w:rPr>
        <w:t>#7#</w:t>
      </w:r>
      <w:r>
        <w:rPr>
          <w:rStyle w:val="LineNumber"/>
          <w:rFonts w:cs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szCs w:val="24"/>
          <w:rtl w:val="true"/>
        </w:rPr>
        <w:t>תקופת המאסר</w:t>
      </w:r>
      <w:r>
        <w:rPr>
          <w:rStyle w:val="LineNumber"/>
          <w:szCs w:val="24"/>
          <w:rtl w:val="true"/>
        </w:rPr>
        <w:t xml:space="preserve"> </w:t>
      </w:r>
      <w:r>
        <w:rPr>
          <w:rStyle w:val="LineNumber"/>
          <w:szCs w:val="24"/>
          <w:rtl w:val="true"/>
        </w:rPr>
        <w:t xml:space="preserve"> בת </w:t>
      </w:r>
      <w:r>
        <w:rPr>
          <w:rStyle w:val="LineNumber"/>
          <w:rFonts w:cs="David"/>
          <w:szCs w:val="24"/>
        </w:rPr>
        <w:t>12</w:t>
      </w:r>
      <w:r>
        <w:rPr>
          <w:rStyle w:val="LineNumber"/>
          <w:rFonts w:cs="David"/>
          <w:szCs w:val="24"/>
          <w:rtl w:val="true"/>
        </w:rPr>
        <w:t xml:space="preserve"> </w:t>
      </w:r>
      <w:r>
        <w:rPr>
          <w:rStyle w:val="LineNumber"/>
          <w:szCs w:val="24"/>
          <w:rtl w:val="true"/>
        </w:rPr>
        <w:t>חודשים שהוטלה על הנאשם אינה תקופה קצרה לכאורה ולכן יש להניח שתחילת ריצוי עונש המאסר לא ייתר את הדיון של הנאשם</w:t>
      </w:r>
      <w:r>
        <w:rPr>
          <w:rStyle w:val="LineNumber"/>
          <w:rFonts w:cs="David"/>
          <w:szCs w:val="24"/>
          <w:rtl w:val="true"/>
        </w:rPr>
        <w:t xml:space="preserve">. </w:t>
      </w:r>
      <w:r>
        <w:rPr>
          <w:rStyle w:val="LineNumber"/>
          <w:szCs w:val="24"/>
          <w:rtl w:val="true"/>
        </w:rPr>
        <w:t>אולם בהתחשב בהמלצות של שירות המבחן שלא לשלוח את הנאשם לריצוי עונש מאחורי סורג ובריח ובהתחשב בתקופה הארוכה בה היה הנאשם משוחרר ולא הפר את תנאי השחרור</w:t>
      </w:r>
      <w:r>
        <w:rPr>
          <w:rStyle w:val="LineNumber"/>
          <w:rFonts w:cs="David"/>
          <w:szCs w:val="24"/>
          <w:rtl w:val="true"/>
        </w:rPr>
        <w:t xml:space="preserve">, </w:t>
      </w:r>
      <w:r>
        <w:rPr>
          <w:rStyle w:val="LineNumber"/>
          <w:szCs w:val="24"/>
          <w:rtl w:val="true"/>
        </w:rPr>
        <w:t>אני סבורה כי הכף נוטה לעיכוב ביצוע עונש המאסר</w:t>
      </w:r>
      <w:r>
        <w:rPr>
          <w:rStyle w:val="LineNumber"/>
          <w:rFonts w:cs="David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szCs w:val="24"/>
          <w:rtl w:val="true"/>
        </w:rPr>
        <w:t xml:space="preserve">לפיכך אני מורה על עיכוב ביצוע עונש המאסר שהוטל על הנאשם עד ליום </w:t>
      </w:r>
      <w:r>
        <w:rPr>
          <w:rStyle w:val="LineNumber"/>
          <w:rFonts w:cs="David"/>
          <w:szCs w:val="24"/>
        </w:rPr>
        <w:t>25/11/12</w:t>
      </w:r>
      <w:r>
        <w:rPr>
          <w:rStyle w:val="LineNumber"/>
          <w:rFonts w:cs="David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szCs w:val="24"/>
          <w:rtl w:val="true"/>
        </w:rPr>
        <w:t>בהעדר החלטה אחרת יתייצב הנאשם בת</w:t>
      </w:r>
      <w:bookmarkStart w:id="13" w:name="_GoBack"/>
      <w:bookmarkEnd w:id="13"/>
      <w:r>
        <w:rPr>
          <w:rStyle w:val="LineNumber"/>
          <w:szCs w:val="24"/>
          <w:rtl w:val="true"/>
        </w:rPr>
        <w:t>אריך הנ</w:t>
      </w:r>
      <w:r>
        <w:rPr>
          <w:rStyle w:val="LineNumber"/>
          <w:rFonts w:cs="David"/>
          <w:szCs w:val="24"/>
          <w:rtl w:val="true"/>
        </w:rPr>
        <w:t>"</w:t>
      </w:r>
      <w:r>
        <w:rPr>
          <w:rStyle w:val="LineNumber"/>
          <w:szCs w:val="24"/>
          <w:rtl w:val="true"/>
        </w:rPr>
        <w:t xml:space="preserve">ל עד לשעה </w:t>
      </w:r>
      <w:r>
        <w:rPr>
          <w:rStyle w:val="LineNumber"/>
          <w:rFonts w:cs="David"/>
          <w:szCs w:val="24"/>
        </w:rPr>
        <w:t>12:00</w:t>
      </w:r>
      <w:r>
        <w:rPr>
          <w:rStyle w:val="LineNumber"/>
          <w:rFonts w:cs="David"/>
          <w:szCs w:val="24"/>
          <w:rtl w:val="true"/>
        </w:rPr>
        <w:t xml:space="preserve"> </w:t>
      </w:r>
      <w:r>
        <w:rPr>
          <w:rStyle w:val="LineNumber"/>
          <w:szCs w:val="24"/>
          <w:rtl w:val="true"/>
        </w:rPr>
        <w:t>במזכירות בית המשפט המחוזי בלוד ויחל בריצוי עונשו</w:t>
      </w:r>
      <w:r>
        <w:rPr>
          <w:rStyle w:val="LineNumber"/>
          <w:rFonts w:cs="David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szCs w:val="24"/>
          <w:rtl w:val="true"/>
        </w:rPr>
        <w:t>הערבויות שהופקדו בתיק זה יישארו בתוקפן להבטחת התייצבותו לריצוי עונש המאסר</w:t>
      </w:r>
      <w:r>
        <w:rPr>
          <w:rStyle w:val="LineNumber"/>
          <w:rFonts w:cs="David"/>
          <w:szCs w:val="24"/>
          <w:rtl w:val="true"/>
        </w:rPr>
        <w:t xml:space="preserve">. </w:t>
      </w:r>
      <w:r>
        <w:rPr>
          <w:rStyle w:val="LineNumber"/>
          <w:szCs w:val="24"/>
          <w:rtl w:val="true"/>
        </w:rPr>
        <w:t>צו איסור יציאה מן הארץ יישאר בתוקפו</w:t>
      </w:r>
      <w:r>
        <w:rPr>
          <w:rStyle w:val="LineNumber"/>
          <w:rFonts w:cs="David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 w:val="6"/>
          <w:szCs w:val="6"/>
        </w:rPr>
      </w:pPr>
      <w:r>
        <w:rPr>
          <w:rStyle w:val="LineNumber"/>
          <w:rFonts w:cs="David"/>
          <w:sz w:val="6"/>
          <w:szCs w:val="6"/>
          <w:rtl w:val="true"/>
        </w:rPr>
        <w:t>&lt;</w:t>
      </w:r>
      <w:r>
        <w:rPr>
          <w:rStyle w:val="LineNumber"/>
          <w:rFonts w:cs="David"/>
          <w:sz w:val="6"/>
          <w:szCs w:val="6"/>
        </w:rPr>
        <w:t>#8#</w:t>
      </w:r>
      <w:r>
        <w:rPr>
          <w:rStyle w:val="LineNumber"/>
          <w:rFonts w:cs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rFonts w:cs="David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15/10/2012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הנאשם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ק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רג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יניאנו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293-01-12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אמיר נפרין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695"/>
        </w:tabs>
        <w:ind w:start="1695" w:hanging="975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CharChar">
    <w:name w:val=" Char Char"/>
    <w:basedOn w:val="DefaultParagraphFont"/>
    <w:qFormat/>
    <w:rPr>
      <w:rFonts w:ascii="David" w:hAnsi="David" w:eastAsia="David" w:cs="David"/>
      <w:sz w:val="24"/>
      <w:szCs w:val="24"/>
      <w:lang w:val="en-US" w:bidi="he-IL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Times New Roman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case/5762686" TargetMode="External"/><Relationship Id="rId6" Type="http://schemas.openxmlformats.org/officeDocument/2006/relationships/hyperlink" Target="http://www.nevo.co.il/case/5865581" TargetMode="External"/><Relationship Id="rId7" Type="http://schemas.openxmlformats.org/officeDocument/2006/relationships/hyperlink" Target="http://www.nevo.co.il/case/6244513" TargetMode="External"/><Relationship Id="rId8" Type="http://schemas.openxmlformats.org/officeDocument/2006/relationships/hyperlink" Target="http://www.nevo.co.il/case/5884792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2016-03-27T14:51:00Z</dcterms:created>
  <dc:creator> </dc:creator>
  <dc:description/>
  <cp:keywords/>
  <dc:language>en-IL</dc:language>
  <cp:lastModifiedBy>run</cp:lastModifiedBy>
  <dcterms:modified xsi:type="dcterms:W3CDTF">2016-03-27T14:51:00Z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נפרין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5762686;6244513;5884792</vt:lpwstr>
  </property>
  <property fmtid="{D5CDD505-2E9C-101B-9397-08002B2CF9AE}" pid="9" name="CITY">
    <vt:lpwstr>מרכז</vt:lpwstr>
  </property>
  <property fmtid="{D5CDD505-2E9C-101B-9397-08002B2CF9AE}" pid="10" name="DATE">
    <vt:lpwstr>20121015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ק. רג'יניאנו</vt:lpwstr>
  </property>
  <property fmtid="{D5CDD505-2E9C-101B-9397-08002B2CF9AE}" pid="14" name="LAWLISTTMP1">
    <vt:lpwstr>70301/144</vt:lpwstr>
  </property>
  <property fmtid="{D5CDD505-2E9C-101B-9397-08002B2CF9AE}" pid="15" name="LAWLISTTMP2">
    <vt:lpwstr>4216:2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293</vt:lpwstr>
  </property>
  <property fmtid="{D5CDD505-2E9C-101B-9397-08002B2CF9AE}" pid="23" name="NEWPARTB">
    <vt:lpwstr>01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390020121015</vt:lpwstr>
  </property>
  <property fmtid="{D5CDD505-2E9C-101B-9397-08002B2CF9AE}" pid="35" name="TYPE_N_DATE">
    <vt:lpwstr>39020121015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