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29331-10-10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עמאר</w:t>
            </w:r>
            <w:r>
              <w:rPr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1080"/>
        <w:gridCol w:w="6997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רותם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יוחנני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רפאת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/>
              <w:t>302724117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ברגר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כללי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בעבירות של חבלה ופציעה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"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bookmarkStart w:id="10" w:name="ABSTRACT_END"/>
      <w:bookmarkEnd w:id="10"/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 הסדר טיעון אשר התייחס לתיקון כתב האישום המקורי בלבד</w:t>
      </w:r>
      <w:r>
        <w:rPr>
          <w:rtl w:val="true"/>
        </w:rPr>
        <w:t xml:space="preserve">, </w:t>
      </w:r>
      <w:r>
        <w:rPr>
          <w:rtl w:val="true"/>
        </w:rPr>
        <w:t>בלא הסכמה לעניין העונש</w:t>
      </w:r>
      <w:r>
        <w:rPr>
          <w:rtl w:val="true"/>
        </w:rPr>
        <w:t xml:space="preserve">. </w:t>
      </w:r>
      <w:r>
        <w:rPr>
          <w:rtl w:val="true"/>
        </w:rPr>
        <w:t>כמו כן הוסכם בין הצדדים כי יוגש תסקיר של שירות המבחן אודות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על פי עובדות כתב האישום המתוקן </w:t>
      </w:r>
      <w:r>
        <w:rPr>
          <w:rtl w:val="true"/>
        </w:rPr>
        <w:t>(</w:t>
      </w:r>
      <w:r>
        <w:rPr>
          <w:rtl w:val="true"/>
        </w:rPr>
        <w:t>שבהן הודה הנאשם</w:t>
      </w:r>
      <w:r>
        <w:rPr>
          <w:rtl w:val="true"/>
        </w:rPr>
        <w:t xml:space="preserve">), </w:t>
      </w:r>
      <w:r>
        <w:rPr>
          <w:rtl w:val="true"/>
        </w:rPr>
        <w:t xml:space="preserve">בתאריך </w:t>
      </w:r>
      <w:r>
        <w:rPr/>
        <w:t>23/9/10</w:t>
      </w:r>
      <w:r>
        <w:rPr>
          <w:rtl w:val="true"/>
        </w:rPr>
        <w:t xml:space="preserve">, </w:t>
      </w:r>
      <w:r>
        <w:rPr>
          <w:rtl w:val="true"/>
        </w:rPr>
        <w:t>בחצות או בסמוך לכך</w:t>
      </w:r>
      <w:r>
        <w:rPr>
          <w:rtl w:val="true"/>
        </w:rPr>
        <w:t xml:space="preserve">, </w:t>
      </w:r>
      <w:r>
        <w:rPr>
          <w:rtl w:val="true"/>
        </w:rPr>
        <w:t>נסעו פריד אבו עמאר</w:t>
      </w:r>
      <w:r>
        <w:rPr>
          <w:rtl w:val="true"/>
        </w:rPr>
        <w:t xml:space="preserve">, </w:t>
      </w:r>
      <w:r>
        <w:rPr>
          <w:rtl w:val="true"/>
        </w:rPr>
        <w:t xml:space="preserve">אחיו הצעיר של הנאשם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פריד</w:t>
      </w:r>
      <w:r>
        <w:rPr>
          <w:rtl w:val="true"/>
        </w:rPr>
        <w:t xml:space="preserve">"), </w:t>
      </w:r>
      <w:r>
        <w:rPr>
          <w:rtl w:val="true"/>
        </w:rPr>
        <w:t>ואדם אבו עמאר</w:t>
      </w:r>
      <w:r>
        <w:rPr>
          <w:rtl w:val="true"/>
        </w:rPr>
        <w:t xml:space="preserve">, </w:t>
      </w:r>
      <w:r>
        <w:rPr>
          <w:rtl w:val="true"/>
        </w:rPr>
        <w:t xml:space="preserve">בן דודו של הנאשם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אדם</w:t>
      </w:r>
      <w:r>
        <w:rPr>
          <w:rtl w:val="true"/>
        </w:rPr>
        <w:t xml:space="preserve">"), </w:t>
      </w:r>
      <w:r>
        <w:rPr>
          <w:rtl w:val="true"/>
        </w:rPr>
        <w:t xml:space="preserve">ברכב מסוג </w:t>
      </w:r>
      <w:r>
        <w:rPr>
          <w:rtl w:val="true"/>
        </w:rPr>
        <w:t>"</w:t>
      </w:r>
      <w:r>
        <w:rPr>
          <w:rtl w:val="true"/>
        </w:rPr>
        <w:t>מזדה</w:t>
      </w:r>
      <w:r>
        <w:rPr>
          <w:rtl w:val="true"/>
        </w:rPr>
        <w:t xml:space="preserve">", </w:t>
      </w:r>
      <w:r>
        <w:rPr>
          <w:rtl w:val="true"/>
        </w:rPr>
        <w:t>שבו נהג אדם</w:t>
      </w:r>
      <w:r>
        <w:rPr>
          <w:rtl w:val="true"/>
        </w:rPr>
        <w:t xml:space="preserve">, </w:t>
      </w:r>
      <w:r>
        <w:rPr>
          <w:rtl w:val="true"/>
        </w:rPr>
        <w:t>לכיוון ביתם בלקייה</w:t>
      </w:r>
      <w:r>
        <w:rPr>
          <w:rtl w:val="true"/>
        </w:rPr>
        <w:t xml:space="preserve">. </w:t>
      </w:r>
      <w:r>
        <w:rPr>
          <w:rtl w:val="true"/>
        </w:rPr>
        <w:t xml:space="preserve">כשנסעו פריד ואדם בסמוך לבית ספר תיכון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", </w:t>
      </w:r>
      <w:r>
        <w:rPr>
          <w:rtl w:val="true"/>
        </w:rPr>
        <w:t xml:space="preserve">נעמד מולם רכב מסוג </w:t>
      </w:r>
      <w:r>
        <w:rPr>
          <w:rtl w:val="true"/>
        </w:rPr>
        <w:t>"</w:t>
      </w:r>
      <w:r>
        <w:rPr>
          <w:rtl w:val="true"/>
        </w:rPr>
        <w:t>מזדה</w:t>
      </w:r>
      <w:r>
        <w:rPr>
          <w:rtl w:val="true"/>
        </w:rPr>
        <w:t xml:space="preserve">" </w:t>
      </w:r>
      <w:r>
        <w:rPr>
          <w:rtl w:val="true"/>
        </w:rPr>
        <w:t xml:space="preserve">שבו נסעו נורדין אלאסד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נורדין</w:t>
      </w:r>
      <w:r>
        <w:rPr>
          <w:rtl w:val="true"/>
        </w:rPr>
        <w:t xml:space="preserve">"), </w:t>
      </w:r>
      <w:r>
        <w:rPr>
          <w:rtl w:val="true"/>
        </w:rPr>
        <w:t xml:space="preserve">אחיו שהאב אלאסד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שהאב</w:t>
      </w:r>
      <w:r>
        <w:rPr>
          <w:rtl w:val="true"/>
        </w:rPr>
        <w:t xml:space="preserve">") </w:t>
      </w:r>
      <w:r>
        <w:rPr>
          <w:rtl w:val="true"/>
        </w:rPr>
        <w:t>ואחר</w:t>
      </w:r>
      <w:r>
        <w:rPr>
          <w:rtl w:val="true"/>
        </w:rPr>
        <w:t xml:space="preserve">. </w:t>
      </w:r>
      <w:r>
        <w:rPr>
          <w:rtl w:val="true"/>
        </w:rPr>
        <w:t>נורדין והאחרים סימנו לפריד ולאדם לעצור את רכבם</w:t>
      </w:r>
      <w:r>
        <w:rPr>
          <w:rtl w:val="true"/>
        </w:rPr>
        <w:t xml:space="preserve">, </w:t>
      </w:r>
      <w:r>
        <w:rPr>
          <w:rtl w:val="true"/>
        </w:rPr>
        <w:t>ואלו עשו כן</w:t>
      </w:r>
      <w:r>
        <w:rPr>
          <w:rtl w:val="true"/>
        </w:rPr>
        <w:t xml:space="preserve">. </w:t>
      </w:r>
      <w:r>
        <w:rPr>
          <w:rtl w:val="true"/>
        </w:rPr>
        <w:t>נורדין והאחרים יצאו מהרכב וניגשו אליהם</w:t>
      </w:r>
      <w:r>
        <w:rPr>
          <w:rtl w:val="true"/>
        </w:rPr>
        <w:t xml:space="preserve">. </w:t>
      </w:r>
      <w:r>
        <w:rPr>
          <w:rtl w:val="true"/>
        </w:rPr>
        <w:t>נורדין שאל את פריד ואת אדם למה הם עוברים במקום</w:t>
      </w:r>
      <w:r>
        <w:rPr>
          <w:rtl w:val="true"/>
        </w:rPr>
        <w:t xml:space="preserve">. </w:t>
      </w:r>
      <w:r>
        <w:rPr>
          <w:rtl w:val="true"/>
        </w:rPr>
        <w:t>פריד השיב שהם בדרכם חזרה מהעבודה</w:t>
      </w:r>
      <w:r>
        <w:rPr>
          <w:rtl w:val="true"/>
        </w:rPr>
        <w:t xml:space="preserve">. </w:t>
      </w:r>
      <w:r>
        <w:rPr>
          <w:rtl w:val="true"/>
        </w:rPr>
        <w:t>האחר ערך חיפוש בתיקו של פריד והורה לו לדומם את מנוע הרכב ולהוציא את המפתחות</w:t>
      </w:r>
      <w:r>
        <w:rPr>
          <w:rtl w:val="true"/>
        </w:rPr>
        <w:t xml:space="preserve">. </w:t>
      </w:r>
      <w:r>
        <w:rPr>
          <w:rtl w:val="true"/>
        </w:rPr>
        <w:t>פריד סירב</w:t>
      </w:r>
      <w:r>
        <w:rPr>
          <w:rtl w:val="true"/>
        </w:rPr>
        <w:t xml:space="preserve">, </w:t>
      </w:r>
      <w:r>
        <w:rPr>
          <w:rtl w:val="true"/>
        </w:rPr>
        <w:t>והאחר הכניס ידו אל הרכב</w:t>
      </w:r>
      <w:r>
        <w:rPr>
          <w:rtl w:val="true"/>
        </w:rPr>
        <w:t xml:space="preserve">, </w:t>
      </w:r>
      <w:r>
        <w:rPr>
          <w:rtl w:val="true"/>
        </w:rPr>
        <w:t>הוציא את המפתחות ממתג ההנעה</w:t>
      </w:r>
      <w:r>
        <w:rPr>
          <w:rtl w:val="true"/>
        </w:rPr>
        <w:t xml:space="preserve">, </w:t>
      </w:r>
      <w:r>
        <w:rPr>
          <w:rtl w:val="true"/>
        </w:rPr>
        <w:t>פתח את הדלת הסמוכה לפריד בחוזקה</w:t>
      </w:r>
      <w:r>
        <w:rPr>
          <w:rtl w:val="true"/>
        </w:rPr>
        <w:t xml:space="preserve">, </w:t>
      </w:r>
      <w:r>
        <w:rPr>
          <w:rtl w:val="true"/>
        </w:rPr>
        <w:t>ובעט בחזהו של פריד שניסה להתנגד ולהדוף את התוקף</w:t>
      </w:r>
      <w:r>
        <w:rPr>
          <w:rtl w:val="true"/>
        </w:rPr>
        <w:t xml:space="preserve">. </w:t>
      </w:r>
      <w:r>
        <w:rPr>
          <w:rtl w:val="true"/>
        </w:rPr>
        <w:t>בשלב זה שלף שהאב אקדח מאחורי גבו ומסר אותו לנורדין</w:t>
      </w:r>
      <w:r>
        <w:rPr>
          <w:rtl w:val="true"/>
        </w:rPr>
        <w:t xml:space="preserve">. </w:t>
      </w:r>
      <w:r>
        <w:rPr>
          <w:rtl w:val="true"/>
        </w:rPr>
        <w:t>נורדין כיוון את האקדח לעבר פריד ולעבר אדם והורה להם לצאת מהרכב כשהוא יורה שתי יריות באוויר</w:t>
      </w:r>
      <w:r>
        <w:rPr>
          <w:rtl w:val="true"/>
        </w:rPr>
        <w:t xml:space="preserve">. </w:t>
      </w:r>
      <w:r>
        <w:rPr>
          <w:rtl w:val="true"/>
        </w:rPr>
        <w:t>פריד ואדם יצאו מהרכב</w:t>
      </w:r>
      <w:r>
        <w:rPr>
          <w:rtl w:val="true"/>
        </w:rPr>
        <w:t xml:space="preserve">, </w:t>
      </w:r>
      <w:r>
        <w:rPr>
          <w:rtl w:val="true"/>
        </w:rPr>
        <w:t>ונורדין המשיך לכוון את האקדח לעברם והורה להם לשבת על הקרקע מחוץ לרכב</w:t>
      </w:r>
      <w:r>
        <w:rPr>
          <w:rtl w:val="true"/>
        </w:rPr>
        <w:t xml:space="preserve">. </w:t>
      </w:r>
      <w:r>
        <w:rPr>
          <w:rtl w:val="true"/>
        </w:rPr>
        <w:t>לאחר שיצאו השניים מהרכב</w:t>
      </w:r>
      <w:r>
        <w:rPr>
          <w:rtl w:val="true"/>
        </w:rPr>
        <w:t xml:space="preserve">, </w:t>
      </w:r>
      <w:r>
        <w:rPr>
          <w:rtl w:val="true"/>
        </w:rPr>
        <w:t>שלף נורדין סכין והצמיד אותה לצווארו של אדם ואחר כך לצווארו של פריד</w:t>
      </w:r>
      <w:r>
        <w:rPr>
          <w:rtl w:val="true"/>
        </w:rPr>
        <w:t xml:space="preserve">. </w:t>
      </w:r>
      <w:r>
        <w:rPr>
          <w:rtl w:val="true"/>
        </w:rPr>
        <w:t>נורדין</w:t>
      </w:r>
      <w:r>
        <w:rPr>
          <w:rtl w:val="true"/>
        </w:rPr>
        <w:t xml:space="preserve">, </w:t>
      </w:r>
      <w:r>
        <w:rPr>
          <w:rtl w:val="true"/>
        </w:rPr>
        <w:t>שהאב והאחר</w:t>
      </w:r>
      <w:r>
        <w:rPr>
          <w:rtl w:val="true"/>
        </w:rPr>
        <w:t xml:space="preserve">, </w:t>
      </w:r>
      <w:r>
        <w:rPr>
          <w:rtl w:val="true"/>
        </w:rPr>
        <w:t>בצוותא חדא</w:t>
      </w:r>
      <w:r>
        <w:rPr>
          <w:rtl w:val="true"/>
        </w:rPr>
        <w:t xml:space="preserve">, </w:t>
      </w:r>
      <w:r>
        <w:rPr>
          <w:rtl w:val="true"/>
        </w:rPr>
        <w:t>הכו את אדם ואת פריד באגרופים בבטן ובחזה</w:t>
      </w:r>
      <w:r>
        <w:rPr>
          <w:rtl w:val="true"/>
        </w:rPr>
        <w:t xml:space="preserve">, </w:t>
      </w:r>
      <w:r>
        <w:rPr>
          <w:rtl w:val="true"/>
        </w:rPr>
        <w:t>ונורדין ירה שתי יריות בסמוך לרגליו של פריד</w:t>
      </w:r>
      <w:r>
        <w:rPr>
          <w:rtl w:val="true"/>
        </w:rPr>
        <w:t xml:space="preserve">. </w:t>
      </w:r>
      <w:r>
        <w:rPr>
          <w:rtl w:val="true"/>
        </w:rPr>
        <w:t>נורדין והאחרים חדלו ממעשיהם רק לאחר שהגיע אדם נוסף שזהותו אינה ידועה למאשימה</w:t>
      </w:r>
      <w:r>
        <w:rPr>
          <w:rtl w:val="true"/>
        </w:rPr>
        <w:t xml:space="preserve">, </w:t>
      </w:r>
      <w:r>
        <w:rPr>
          <w:rtl w:val="true"/>
        </w:rPr>
        <w:t>ואמר לנורדין ולאחרים להניח לאדם ולפריד</w:t>
      </w:r>
      <w:r>
        <w:rPr>
          <w:rtl w:val="true"/>
        </w:rPr>
        <w:t xml:space="preserve">. </w:t>
      </w:r>
      <w:r>
        <w:rPr>
          <w:rtl w:val="true"/>
        </w:rPr>
        <w:t xml:space="preserve">אדם ופריד נסעו לביתם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האירוע המקדים</w:t>
      </w:r>
      <w:r>
        <w:rPr>
          <w:rtl w:val="true"/>
        </w:rPr>
        <w:t xml:space="preserve">"). 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עוד באותו לילה סיפר פריד לנאשם על מעשיו של נורדין באירוע המקדים </w:t>
      </w:r>
      <w:r>
        <w:rPr>
          <w:rtl w:val="true"/>
        </w:rPr>
        <w:t>,</w:t>
      </w:r>
      <w:r>
        <w:rPr>
          <w:rtl w:val="true"/>
        </w:rPr>
        <w:t>כמתואר לעיל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הנאשם החליט לחפש את נורדין ולברר עמו את הסיבות להתנהגותו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באותו לילה חיפש הנאשם את נורדין</w:t>
      </w:r>
      <w:r>
        <w:rPr>
          <w:rtl w:val="true"/>
        </w:rPr>
        <w:t xml:space="preserve">, </w:t>
      </w:r>
      <w:r>
        <w:rPr>
          <w:rtl w:val="true"/>
        </w:rPr>
        <w:t>אך לא מצא אותו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נסע הנאשם לחפש אחר נורדין יחד עם פריד ועם רביע אבו עמאר</w:t>
      </w:r>
      <w:r>
        <w:rPr>
          <w:rtl w:val="true"/>
        </w:rPr>
        <w:t xml:space="preserve">, </w:t>
      </w:r>
      <w:r>
        <w:rPr>
          <w:rtl w:val="true"/>
        </w:rPr>
        <w:t xml:space="preserve">בן דודו של הנאשם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רביע</w:t>
      </w:r>
      <w:r>
        <w:rPr>
          <w:rtl w:val="true"/>
        </w:rPr>
        <w:t xml:space="preserve">"). </w:t>
      </w:r>
      <w:r>
        <w:rPr>
          <w:rtl w:val="true"/>
        </w:rPr>
        <w:t xml:space="preserve">הנאשם והאחרים נסעו לכיוון בית ספר תיכון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", </w:t>
      </w:r>
      <w:r>
        <w:rPr>
          <w:rtl w:val="true"/>
        </w:rPr>
        <w:t>ביודעם כי נורדין עובד שם בתור שומר</w:t>
      </w:r>
      <w:r>
        <w:rPr>
          <w:rtl w:val="true"/>
        </w:rPr>
        <w:t xml:space="preserve">. </w:t>
      </w:r>
      <w:r>
        <w:rPr>
          <w:rtl w:val="true"/>
        </w:rPr>
        <w:t xml:space="preserve">באותה עת ישב נורדין במושב הקדמי ברכב מסוג </w:t>
      </w:r>
      <w:r>
        <w:rPr>
          <w:rtl w:val="true"/>
        </w:rPr>
        <w:t>"</w:t>
      </w:r>
      <w:r>
        <w:rPr>
          <w:rtl w:val="true"/>
        </w:rPr>
        <w:t>הונדה</w:t>
      </w:r>
      <w:r>
        <w:rPr>
          <w:rtl w:val="true"/>
        </w:rPr>
        <w:t xml:space="preserve">", </w:t>
      </w:r>
      <w:r>
        <w:rPr>
          <w:rtl w:val="true"/>
        </w:rPr>
        <w:t xml:space="preserve">לצד הנהג עומר אבו חטאב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עומר</w:t>
      </w:r>
      <w:r>
        <w:rPr>
          <w:rtl w:val="true"/>
        </w:rPr>
        <w:t xml:space="preserve">"), </w:t>
      </w:r>
      <w:r>
        <w:rPr>
          <w:rtl w:val="true"/>
        </w:rPr>
        <w:t>כשרכבם חונה בסמוך לבית הספר האמור</w:t>
      </w:r>
      <w:r>
        <w:rPr>
          <w:rtl w:val="true"/>
        </w:rPr>
        <w:t xml:space="preserve">. </w:t>
      </w:r>
      <w:r>
        <w:rPr>
          <w:rtl w:val="true"/>
        </w:rPr>
        <w:t xml:space="preserve">הנאשם והאחרים הגיעו למקום בסמוך לשעה </w:t>
      </w:r>
      <w:r>
        <w:rPr/>
        <w:t>23:17</w:t>
      </w:r>
      <w:r>
        <w:rPr>
          <w:rtl w:val="true"/>
        </w:rPr>
        <w:t xml:space="preserve">, </w:t>
      </w:r>
      <w:r>
        <w:rPr>
          <w:rtl w:val="true"/>
        </w:rPr>
        <w:t>והנאשם העמיד את רכבו במקביל לרכב שבו ישב נורדין</w:t>
      </w:r>
      <w:r>
        <w:rPr>
          <w:rtl w:val="true"/>
        </w:rPr>
        <w:t xml:space="preserve">. </w:t>
      </w:r>
      <w:r>
        <w:rPr>
          <w:rtl w:val="true"/>
        </w:rPr>
        <w:t>הנאשם יצא מרכבו כשהוא נושא על גופו אקדח</w:t>
      </w:r>
      <w:r>
        <w:rPr>
          <w:rtl w:val="true"/>
        </w:rPr>
        <w:t xml:space="preserve">, </w:t>
      </w:r>
      <w:r>
        <w:rPr>
          <w:rtl w:val="true"/>
        </w:rPr>
        <w:t>שאותו הוא מחזיק ברישיון ונושא באופן שגרתי וקבוע בהיותו שוטר 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 החל להתקרב לרכב שבו ישב נורדין</w:t>
      </w:r>
      <w:r>
        <w:rPr>
          <w:rtl w:val="true"/>
        </w:rPr>
        <w:t xml:space="preserve">. </w:t>
      </w:r>
      <w:r>
        <w:rPr>
          <w:rtl w:val="true"/>
        </w:rPr>
        <w:t>בשלב זה ירה נורדין ירייה מאקדח מתוך הרכב לכיוונו של הנאשם</w:t>
      </w:r>
      <w:r>
        <w:rPr>
          <w:rtl w:val="true"/>
        </w:rPr>
        <w:t xml:space="preserve">, </w:t>
      </w:r>
      <w:r>
        <w:rPr>
          <w:rtl w:val="true"/>
        </w:rPr>
        <w:t>ירייה שחדרה ויצאה דרך השמשה הקדמית של רכבו של נורדין</w:t>
      </w:r>
      <w:r>
        <w:rPr>
          <w:rtl w:val="true"/>
        </w:rPr>
        <w:t xml:space="preserve">. </w:t>
      </w:r>
      <w:r>
        <w:rPr>
          <w:rtl w:val="true"/>
        </w:rPr>
        <w:t>הנאשם צעק לעבר פריד ורביע שיברחו והחל לירות בתגובה מאקדחו לעבר נורדין ולעבר עומר</w:t>
      </w:r>
      <w:r>
        <w:rPr>
          <w:rtl w:val="true"/>
        </w:rPr>
        <w:t xml:space="preserve">, </w:t>
      </w:r>
      <w:r>
        <w:rPr>
          <w:rtl w:val="true"/>
        </w:rPr>
        <w:t xml:space="preserve">לפחות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שתי יריות שירה הנאשם חדרו דרך השמשה הקדמית אל הרכב שבו ישבו נורדין ועומר</w:t>
      </w:r>
      <w:r>
        <w:rPr>
          <w:rtl w:val="true"/>
        </w:rPr>
        <w:t xml:space="preserve">, </w:t>
      </w:r>
      <w:r>
        <w:rPr>
          <w:rtl w:val="true"/>
        </w:rPr>
        <w:t>וירייה נוספת פגעה במכסה המנוע של רכבם</w:t>
      </w:r>
      <w:r>
        <w:rPr>
          <w:rtl w:val="true"/>
        </w:rPr>
        <w:t xml:space="preserve">. </w:t>
      </w:r>
      <w:r>
        <w:rPr>
          <w:rtl w:val="true"/>
        </w:rPr>
        <w:t>נורדין נפגע מהירי בראשו ובידו</w:t>
      </w:r>
      <w:r>
        <w:rPr>
          <w:rtl w:val="true"/>
        </w:rPr>
        <w:t xml:space="preserve">, </w:t>
      </w:r>
      <w:r>
        <w:rPr>
          <w:rtl w:val="true"/>
        </w:rPr>
        <w:t>ועומר נפגע באזור האגן</w:t>
      </w:r>
      <w:r>
        <w:rPr>
          <w:rtl w:val="true"/>
        </w:rPr>
        <w:t xml:space="preserve">. </w:t>
      </w:r>
      <w:r>
        <w:rPr>
          <w:rtl w:val="true"/>
        </w:rPr>
        <w:t>מיד לאחר מכן אסף הנאשם את פריד ואת רביע אל הרכב</w:t>
      </w:r>
      <w:r>
        <w:rPr>
          <w:rtl w:val="true"/>
        </w:rPr>
        <w:t xml:space="preserve">, </w:t>
      </w:r>
      <w:r>
        <w:rPr>
          <w:rtl w:val="true"/>
        </w:rPr>
        <w:t>ושלושתם נמלטו מהמקום כשהם משאירים בזירה את נורדין ואת עומר פצועים</w:t>
      </w:r>
      <w:r>
        <w:rPr>
          <w:rtl w:val="true"/>
        </w:rPr>
        <w:t xml:space="preserve">. </w:t>
      </w:r>
      <w:r>
        <w:rPr>
          <w:rtl w:val="true"/>
        </w:rPr>
        <w:t>כתוצאה מהירי שירה הנאשם נפצע נורדין מפגיעת קליע שחדר ויצא מאמת יד שמאל ומפגיעת קליע בראשו במצח משמאל</w:t>
      </w:r>
      <w:r>
        <w:rPr>
          <w:rtl w:val="true"/>
        </w:rPr>
        <w:t xml:space="preserve">. </w:t>
      </w:r>
      <w:r>
        <w:rPr>
          <w:rtl w:val="true"/>
        </w:rPr>
        <w:t>הקליע הוצא מראשו</w:t>
      </w:r>
      <w:r>
        <w:rPr>
          <w:rtl w:val="true"/>
        </w:rPr>
        <w:t xml:space="preserve">, </w:t>
      </w:r>
      <w:r>
        <w:rPr>
          <w:rtl w:val="true"/>
        </w:rPr>
        <w:t>והפצעים נתפרו ונחבשו</w:t>
      </w:r>
      <w:r>
        <w:rPr>
          <w:rtl w:val="true"/>
        </w:rPr>
        <w:t xml:space="preserve">. </w:t>
      </w:r>
      <w:r>
        <w:rPr>
          <w:rtl w:val="true"/>
        </w:rPr>
        <w:t>עומר נפצע מפגיעת קליע שחדר ויצא מאזור האגן הקדמי</w:t>
      </w:r>
      <w:r>
        <w:rPr>
          <w:rtl w:val="true"/>
        </w:rPr>
        <w:t>-</w:t>
      </w:r>
      <w:r>
        <w:rPr>
          <w:rtl w:val="true"/>
        </w:rPr>
        <w:t>שמאלי</w:t>
      </w:r>
      <w:r>
        <w:rPr>
          <w:rtl w:val="true"/>
        </w:rPr>
        <w:t xml:space="preserve">; </w:t>
      </w:r>
      <w:r>
        <w:rPr>
          <w:rtl w:val="true"/>
        </w:rPr>
        <w:t>והוא אושפז לקבלת טיפול רפואי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תסקיר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כאמור בתסקירו של שירות המבחן מיום </w:t>
      </w:r>
      <w:r>
        <w:rPr/>
        <w:t>9/2/12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הוא בחור צעיר</w:t>
      </w:r>
      <w:r>
        <w:rPr>
          <w:rtl w:val="true"/>
        </w:rPr>
        <w:t xml:space="preserve">, </w:t>
      </w:r>
      <w:r>
        <w:rPr>
          <w:rtl w:val="true"/>
        </w:rPr>
        <w:t>אשר עד למעורבותו באירוע המתואר השתדל לנהל את חייו באופן תקין</w:t>
      </w:r>
      <w:r>
        <w:rPr>
          <w:rtl w:val="true"/>
        </w:rPr>
        <w:t xml:space="preserve">, </w:t>
      </w:r>
      <w:r>
        <w:rPr>
          <w:rtl w:val="true"/>
        </w:rPr>
        <w:t>תוך שילוב בשירות צבאי סדיר</w:t>
      </w:r>
      <w:r>
        <w:rPr>
          <w:rtl w:val="true"/>
        </w:rPr>
        <w:t xml:space="preserve">. </w:t>
      </w:r>
      <w:r>
        <w:rPr>
          <w:rtl w:val="true"/>
        </w:rPr>
        <w:t>שירות המבחן סבר כי על רקע חומרת המיוחס לנאשם</w:t>
      </w:r>
      <w:r>
        <w:rPr>
          <w:rtl w:val="true"/>
        </w:rPr>
        <w:t xml:space="preserve">, </w:t>
      </w:r>
      <w:r>
        <w:rPr>
          <w:rtl w:val="true"/>
        </w:rPr>
        <w:t>ובשל התייחסותו לעבירה אשר מצביעה על ריכוז עצמי ועל טשטוש</w:t>
      </w:r>
      <w:r>
        <w:rPr>
          <w:rtl w:val="true"/>
        </w:rPr>
        <w:t xml:space="preserve">, </w:t>
      </w:r>
      <w:r>
        <w:rPr>
          <w:rtl w:val="true"/>
        </w:rPr>
        <w:t>תוך קושי לגעת לעומק במניעים הפנימיים שהובילו אותו לעבירה הנדונה וקושי לבחון את השלכות מעשיו ואחריותו להסלמת האירועים בין משפחת הנאשם לבין משפחת אלאסד – יש מקום לענישה מוחשית של מאסר בפועל</w:t>
      </w:r>
      <w:r>
        <w:rPr>
          <w:rtl w:val="true"/>
        </w:rPr>
        <w:t xml:space="preserve">, </w:t>
      </w:r>
      <w:r>
        <w:rPr>
          <w:rtl w:val="true"/>
        </w:rPr>
        <w:t>שתבהיר לנאשם את חומרת מעשיו</w:t>
      </w:r>
      <w:r>
        <w:rPr>
          <w:rtl w:val="true"/>
        </w:rPr>
        <w:t xml:space="preserve">, </w:t>
      </w:r>
      <w:r>
        <w:rPr>
          <w:rtl w:val="true"/>
        </w:rPr>
        <w:t>וכמו כן הטלת מאסר מותנה מרתיע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הראיות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" w:cs="Arial"/>
          <w:rtl w:val="true"/>
        </w:rPr>
        <w:t xml:space="preserve">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 הגישה צילומים מזירת הירי הנוגעים לחלק מהקליעים שפגעו ברכבם של המתלוננים ותיעוד רפואי הנוגע לנורדין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ההגנה הגישה מכתב מאביו של הנאשם</w:t>
      </w:r>
      <w:r>
        <w:rPr>
          <w:rtl w:val="true"/>
        </w:rPr>
        <w:t xml:space="preserve">, </w:t>
      </w:r>
      <w:r>
        <w:rPr>
          <w:rtl w:val="true"/>
        </w:rPr>
        <w:t>אשר ביקש להקל בעונשו של הנאשם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עיקרי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פירטה את הנסיבות המחמירות במעשיו של הנאשם</w:t>
      </w:r>
      <w:r>
        <w:rPr>
          <w:rtl w:val="true"/>
        </w:rPr>
        <w:t xml:space="preserve">: </w:t>
      </w:r>
      <w:r>
        <w:rPr>
          <w:rtl w:val="true"/>
        </w:rPr>
        <w:t>הנאשם חיפש את נורדין לילה אחר לילה</w:t>
      </w:r>
      <w:r>
        <w:rPr>
          <w:rtl w:val="true"/>
        </w:rPr>
        <w:t xml:space="preserve">, </w:t>
      </w:r>
      <w:r>
        <w:rPr>
          <w:rtl w:val="true"/>
        </w:rPr>
        <w:t>והגיע חמוש למקום העבודה של נורדין בכסות החשיכה בצוותא עם שניים אחרים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כי לאחר שנורדין ירה לעבר הנאשם עמדו לפני הנאשם כמה אפשרויות</w:t>
      </w:r>
      <w:r>
        <w:rPr>
          <w:rtl w:val="true"/>
        </w:rPr>
        <w:t xml:space="preserve">, </w:t>
      </w:r>
      <w:r>
        <w:rPr>
          <w:rtl w:val="true"/>
        </w:rPr>
        <w:t>וביניהן לעזוב את המקום</w:t>
      </w:r>
      <w:r>
        <w:rPr>
          <w:rtl w:val="true"/>
        </w:rPr>
        <w:t xml:space="preserve">, </w:t>
      </w:r>
      <w:r>
        <w:rPr>
          <w:rtl w:val="true"/>
        </w:rPr>
        <w:t>להזעיק את המשטרה או לירות יריית אזהרה באוויר</w:t>
      </w:r>
      <w:r>
        <w:rPr>
          <w:rtl w:val="true"/>
        </w:rPr>
        <w:t xml:space="preserve">. </w:t>
      </w:r>
      <w:r>
        <w:rPr>
          <w:rtl w:val="true"/>
        </w:rPr>
        <w:t xml:space="preserve">תחת זאת פתח הנאשם במטח יריות לעבר הרכב שבו ישבו נורדין ועומר וירה לעברם לכל הפחות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שפגעו בידו ובראשו של נורדין ובאגן של עומר</w:t>
      </w:r>
      <w:r>
        <w:rPr>
          <w:rtl w:val="true"/>
        </w:rPr>
        <w:t xml:space="preserve">. </w:t>
      </w:r>
      <w:r>
        <w:rPr>
          <w:rtl w:val="true"/>
        </w:rPr>
        <w:t>הנאשם החליט לעשות</w:t>
      </w:r>
      <w:r>
        <w:rPr>
          <w:rtl w:val="true"/>
        </w:rPr>
        <w:t xml:space="preserve">, </w:t>
      </w:r>
      <w:r>
        <w:rPr>
          <w:rtl w:val="true"/>
        </w:rPr>
        <w:t>במכוון</w:t>
      </w:r>
      <w:r>
        <w:rPr>
          <w:rtl w:val="true"/>
        </w:rPr>
        <w:t xml:space="preserve">, </w:t>
      </w:r>
      <w:r>
        <w:rPr>
          <w:rtl w:val="true"/>
        </w:rPr>
        <w:t>דין עצמי ואלים בנורדין</w:t>
      </w:r>
      <w:r>
        <w:rPr>
          <w:rtl w:val="true"/>
        </w:rPr>
        <w:t xml:space="preserve">, </w:t>
      </w:r>
      <w:r>
        <w:rPr>
          <w:rtl w:val="true"/>
        </w:rPr>
        <w:t>ולא היה אכפת לו שבאותה עת שהה ברכב אדם נוסף שכלל לא היה מעורב באירוע המקדים</w:t>
      </w:r>
      <w:r>
        <w:rPr>
          <w:rtl w:val="true"/>
        </w:rPr>
        <w:t xml:space="preserve">. </w:t>
      </w:r>
      <w:r>
        <w:rPr>
          <w:rtl w:val="true"/>
        </w:rPr>
        <w:t>הנאשם נמלט מהמקום</w:t>
      </w:r>
      <w:r>
        <w:rPr>
          <w:rtl w:val="true"/>
        </w:rPr>
        <w:t xml:space="preserve">, </w:t>
      </w:r>
      <w:r>
        <w:rPr>
          <w:rtl w:val="true"/>
        </w:rPr>
        <w:t>כשהוא מותיר את נורדין ואת עומר פצועים</w:t>
      </w:r>
      <w:r>
        <w:rPr>
          <w:rtl w:val="true"/>
        </w:rPr>
        <w:t xml:space="preserve">, </w:t>
      </w:r>
      <w:r>
        <w:rPr>
          <w:rtl w:val="true"/>
        </w:rPr>
        <w:t>ולא דיווח על המקרה</w:t>
      </w:r>
      <w:r>
        <w:rPr>
          <w:rtl w:val="true"/>
        </w:rPr>
        <w:t xml:space="preserve">, </w:t>
      </w:r>
      <w:r>
        <w:rPr>
          <w:rtl w:val="true"/>
        </w:rPr>
        <w:t>ולו באופן אנונימי</w:t>
      </w:r>
      <w:r>
        <w:rPr>
          <w:rtl w:val="true"/>
        </w:rPr>
        <w:t xml:space="preserve">, </w:t>
      </w:r>
      <w:r>
        <w:rPr>
          <w:rtl w:val="true"/>
        </w:rPr>
        <w:t>לגורם כלשהו שהיה יכול להושיט להם עזרה</w:t>
      </w:r>
      <w:r>
        <w:rPr>
          <w:rtl w:val="true"/>
        </w:rPr>
        <w:t xml:space="preserve">. </w:t>
      </w:r>
      <w:r>
        <w:rPr>
          <w:rtl w:val="true"/>
        </w:rPr>
        <w:t>בנס לא נהרגו המתלוננים</w:t>
      </w:r>
      <w:r>
        <w:rPr>
          <w:rtl w:val="true"/>
        </w:rPr>
        <w:t xml:space="preserve">. </w:t>
      </w:r>
      <w:r>
        <w:rPr>
          <w:rtl w:val="true"/>
        </w:rPr>
        <w:t>עוד צוין כי האירוע מושא תיק זה הצית סכסוך אלים ועקוב מדם בין משפחת אבו עמאר לבין משפחת אלאסד</w:t>
      </w:r>
      <w:r>
        <w:rPr>
          <w:rtl w:val="true"/>
        </w:rPr>
        <w:t xml:space="preserve">, </w:t>
      </w:r>
      <w:r>
        <w:rPr>
          <w:rtl w:val="true"/>
        </w:rPr>
        <w:t>וכתוצאה ממנו שני בני אדם קיפחו את חייהם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לתסקיר שירות המבחן שבו צוין כי לנאשם חשוב להוכיח את גבריותו</w:t>
      </w:r>
      <w:r>
        <w:rPr>
          <w:rtl w:val="true"/>
        </w:rPr>
        <w:t xml:space="preserve">, </w:t>
      </w:r>
      <w:r>
        <w:rPr>
          <w:rtl w:val="true"/>
        </w:rPr>
        <w:t>וכי הנאשם עלול להגיב באופן קיצוני תוך שימוש בכוח במצבים שבהם הוא חווה פגיעה בכבוד משפחתו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המאשימה ציינה כי בגין חלקו של נורדין באירוע </w:t>
      </w:r>
      <w:r>
        <w:rPr>
          <w:rtl w:val="true"/>
        </w:rPr>
        <w:t>(</w:t>
      </w:r>
      <w:r>
        <w:rPr>
          <w:rtl w:val="true"/>
        </w:rPr>
        <w:t>הירי לעבר הנאשם</w:t>
      </w:r>
      <w:r>
        <w:rPr>
          <w:rtl w:val="true"/>
        </w:rPr>
        <w:t xml:space="preserve">) </w:t>
      </w:r>
      <w:r>
        <w:rPr>
          <w:rtl w:val="true"/>
        </w:rPr>
        <w:t xml:space="preserve">הוטל עליו עונש של שנתיים מאסר בפועל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29651-10-10</w:t>
        </w:r>
      </w:hyperlink>
      <w:r>
        <w:rPr>
          <w:rtl w:val="true"/>
        </w:rPr>
        <w:t xml:space="preserve">). </w:t>
      </w: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נורדין פעל כפי שפעל כיוון שחש מאוים בנסיבות המקרה </w:t>
      </w:r>
      <w:r>
        <w:rPr>
          <w:rtl w:val="true"/>
        </w:rPr>
        <w:t>(</w:t>
      </w:r>
      <w:r>
        <w:rPr>
          <w:rtl w:val="true"/>
        </w:rPr>
        <w:t>בשעות לילה וחשכה</w:t>
      </w:r>
      <w:r>
        <w:rPr>
          <w:rtl w:val="true"/>
        </w:rPr>
        <w:t xml:space="preserve">; </w:t>
      </w:r>
      <w:r>
        <w:rPr>
          <w:rtl w:val="true"/>
        </w:rPr>
        <w:t>הנאשם הגיע בהפתעה ובלא תיאום למקום העבודה של נורדין יחד עם אחרים לאחר סכסוך קודם עם אחי הנאשם</w:t>
      </w:r>
      <w:r>
        <w:rPr>
          <w:rtl w:val="true"/>
        </w:rPr>
        <w:t xml:space="preserve">; </w:t>
      </w:r>
      <w:r>
        <w:rPr>
          <w:rtl w:val="true"/>
        </w:rPr>
        <w:t>והנאשם מוכר כאדם הנושא נשק</w:t>
      </w:r>
      <w:r>
        <w:rPr>
          <w:rtl w:val="true"/>
        </w:rPr>
        <w:t xml:space="preserve">; </w:t>
      </w:r>
      <w:r>
        <w:rPr>
          <w:rtl w:val="true"/>
        </w:rPr>
        <w:t>נורדין גם לא היה יכול לעזוב את מקום עבודתו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הטעימה כי אין כך הדברים לגבי הנאשם</w:t>
      </w:r>
      <w:r>
        <w:rPr>
          <w:rtl w:val="true"/>
        </w:rPr>
        <w:t xml:space="preserve">, </w:t>
      </w:r>
      <w:r>
        <w:rPr>
          <w:rtl w:val="true"/>
        </w:rPr>
        <w:t>אשר פעל במכוון</w:t>
      </w:r>
      <w:r>
        <w:rPr>
          <w:rtl w:val="true"/>
        </w:rPr>
        <w:t xml:space="preserve">. </w:t>
      </w:r>
      <w:r>
        <w:rPr>
          <w:rtl w:val="true"/>
        </w:rPr>
        <w:t>העובדה שהנאשם שימש שוטר ונשא נשק כדין בעת האירועים</w:t>
      </w:r>
      <w:r>
        <w:rPr>
          <w:rtl w:val="true"/>
        </w:rPr>
        <w:t xml:space="preserve">, </w:t>
      </w:r>
      <w:r>
        <w:rPr>
          <w:rtl w:val="true"/>
        </w:rPr>
        <w:t>עומדת לו לרועץ</w:t>
      </w:r>
      <w:r>
        <w:rPr>
          <w:rtl w:val="true"/>
        </w:rPr>
        <w:t xml:space="preserve">, </w:t>
      </w:r>
      <w:r>
        <w:rPr>
          <w:rtl w:val="true"/>
        </w:rPr>
        <w:t>שכן היה מצופה ממנו שלא יעשה שימוש בנשק על מנת לפתור סכסוכים אישיים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אישרה כי אמנם אין לנאשם עבר פלילי</w:t>
      </w:r>
      <w:r>
        <w:rPr>
          <w:rtl w:val="true"/>
        </w:rPr>
        <w:t xml:space="preserve">, </w:t>
      </w:r>
      <w:r>
        <w:rPr>
          <w:rtl w:val="true"/>
        </w:rPr>
        <w:t>אך טענה כי התנהגותו מעידה שאין מדובר באדם נורמטיבי אלא באדם אלים</w:t>
      </w:r>
      <w:r>
        <w:rPr>
          <w:rtl w:val="true"/>
        </w:rPr>
        <w:t xml:space="preserve">, </w:t>
      </w:r>
      <w:r>
        <w:rPr>
          <w:rtl w:val="true"/>
        </w:rPr>
        <w:t>מסוכן ופרוע</w:t>
      </w:r>
      <w:r>
        <w:rPr>
          <w:rtl w:val="true"/>
        </w:rPr>
        <w:t xml:space="preserve">, </w:t>
      </w:r>
      <w:r>
        <w:rPr>
          <w:rtl w:val="true"/>
        </w:rPr>
        <w:t>שחרף היותו שוטר</w:t>
      </w:r>
      <w:r>
        <w:rPr>
          <w:rtl w:val="true"/>
        </w:rPr>
        <w:t xml:space="preserve">, </w:t>
      </w:r>
      <w:r>
        <w:rPr>
          <w:rtl w:val="true"/>
        </w:rPr>
        <w:t>מורא החוק אינו חל עליו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על בית המשפט להעביר מסר שלפיו אין מקום לסלחנות וליד רכה באירוע ירי כזה</w:t>
      </w:r>
      <w:r>
        <w:rPr>
          <w:rtl w:val="true"/>
        </w:rPr>
        <w:t xml:space="preserve">, </w:t>
      </w:r>
      <w:r>
        <w:rPr>
          <w:rtl w:val="true"/>
        </w:rPr>
        <w:t>גם אם קדם לו סכסוך</w:t>
      </w:r>
      <w:r>
        <w:rPr>
          <w:rtl w:val="true"/>
        </w:rPr>
        <w:t xml:space="preserve">, </w:t>
      </w:r>
      <w:r>
        <w:rPr>
          <w:rtl w:val="true"/>
        </w:rPr>
        <w:t>בייחוד כשהנאשם נמנה בזמנו עם כוחות המשטרה אשר אמורה להגן על הציבור ולא להיפך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highlight w:val="yellow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לעניין חומרת העבירה ל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479/09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קשאש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1/12/09</w:t>
      </w:r>
      <w:r>
        <w:rPr>
          <w:rtl w:val="true"/>
        </w:rPr>
        <w:t xml:space="preserve">);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מולנר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9/6/10</w:t>
      </w:r>
      <w:r>
        <w:rPr>
          <w:rtl w:val="true"/>
        </w:rPr>
        <w:t xml:space="preserve">);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7/2/05</w:t>
      </w:r>
      <w:r>
        <w:rPr>
          <w:rtl w:val="true"/>
        </w:rPr>
        <w:t xml:space="preserve">); </w:t>
      </w:r>
      <w:r>
        <w:rPr>
          <w:rtl w:val="true"/>
        </w:rPr>
        <w:t>ול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2909/04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סדון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14/2/05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לעניין העונש ל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2909/04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שבו אושר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 על אדם מבוגר נעדר עבר פלילי</w:t>
      </w:r>
      <w:r>
        <w:rPr>
          <w:rtl w:val="true"/>
        </w:rPr>
        <w:t xml:space="preserve">, </w:t>
      </w:r>
      <w:r>
        <w:rPr>
          <w:rtl w:val="true"/>
        </w:rPr>
        <w:t>שירה מנשקו במהלך תגרה והורשע בעבירה של חבלה חמורה בנסיבות מחמירות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14049-06-11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דבאח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 על צעיר בלא עבר פלילי שירה שש יריות באוויר</w:t>
      </w:r>
      <w:r>
        <w:rPr>
          <w:rtl w:val="true"/>
        </w:rPr>
        <w:t xml:space="preserve">, </w:t>
      </w:r>
      <w:r>
        <w:rPr>
          <w:rtl w:val="true"/>
        </w:rPr>
        <w:t>בלי שייפגעו אנשים</w:t>
      </w:r>
      <w:r>
        <w:rPr>
          <w:rtl w:val="true"/>
        </w:rPr>
        <w:t xml:space="preserve">, </w:t>
      </w:r>
      <w:r>
        <w:rPr>
          <w:rtl w:val="true"/>
        </w:rPr>
        <w:t>שהורשע בעבירות של נשיאת נשק ושל ירי מנשק חם באזור מגורים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8265/06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אלאטרש</w:t>
      </w:r>
      <w:r>
        <w:rPr>
          <w:rtl w:val="true"/>
        </w:rPr>
        <w:t xml:space="preserve">, </w:t>
      </w:r>
      <w:r>
        <w:rPr>
          <w:rtl w:val="true"/>
        </w:rPr>
        <w:t>שבו נגזרו חמש וחצי שנות מאסר בפועל בגין נשיאת נשק וירי לעבר מתלוננים</w:t>
      </w:r>
      <w:r>
        <w:rPr>
          <w:rtl w:val="true"/>
        </w:rPr>
        <w:t xml:space="preserve">, </w:t>
      </w:r>
      <w:r>
        <w:rPr>
          <w:rtl w:val="true"/>
        </w:rPr>
        <w:t>שלא נפגעו</w:t>
      </w:r>
      <w:r>
        <w:rPr>
          <w:rtl w:val="true"/>
        </w:rPr>
        <w:t xml:space="preserve">; </w:t>
      </w:r>
      <w:r>
        <w:rPr>
          <w:rtl w:val="true"/>
        </w:rPr>
        <w:t>ול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20782-06-09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סבלאן</w:t>
      </w:r>
      <w:r>
        <w:rPr>
          <w:rtl w:val="true"/>
        </w:rPr>
        <w:t xml:space="preserve">, </w:t>
      </w:r>
      <w:r>
        <w:rPr>
          <w:rtl w:val="true"/>
        </w:rPr>
        <w:t xml:space="preserve">שבו נגזרו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 על צעיר בלא עבר פלילי שירה יחד עם אחר מספר רב של יריות לעבר המתלונן והורשע בעבירות של חבלה ופציעה בנסיבות מחמירות ושל נשיאת נשק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על כן עתרה ב</w:t>
      </w:r>
      <w:r>
        <w:rPr>
          <w:rtl w:val="true"/>
        </w:rPr>
        <w:t>"</w:t>
      </w:r>
      <w:r>
        <w:rPr>
          <w:rtl w:val="true"/>
        </w:rPr>
        <w:t>כ המאשימה להטיל על הנאשם עונש מאסר בפועל ארוך וממשי</w:t>
      </w:r>
      <w:r>
        <w:rPr>
          <w:rtl w:val="true"/>
        </w:rPr>
        <w:t xml:space="preserve">, </w:t>
      </w:r>
      <w:r>
        <w:rPr>
          <w:rtl w:val="true"/>
        </w:rPr>
        <w:t>וכמו כן מאסר מותנה ארוך ומרתיע</w:t>
      </w:r>
      <w:r>
        <w:rPr>
          <w:rtl w:val="true"/>
        </w:rPr>
        <w:t xml:space="preserve">, </w:t>
      </w:r>
      <w:r>
        <w:rPr>
          <w:rtl w:val="true"/>
        </w:rPr>
        <w:t>קנס כספי או מאסר תמורתו ופיצוי לשני המתלוננים שנפגעו מהירי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7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 כי הרקע למעשי הנאשם הוא האירוע המקדים</w:t>
      </w:r>
      <w:r>
        <w:rPr>
          <w:rtl w:val="true"/>
        </w:rPr>
        <w:t xml:space="preserve">, </w:t>
      </w:r>
      <w:r>
        <w:rPr>
          <w:rtl w:val="true"/>
        </w:rPr>
        <w:t>שבו חווה אחיו של הנאשם התנהגות בריוניות ואלימה תוך שימוש בנשק מצד נורדין</w:t>
      </w:r>
      <w:r>
        <w:rPr>
          <w:rtl w:val="true"/>
        </w:rPr>
        <w:t xml:space="preserve">. </w:t>
      </w:r>
      <w:r>
        <w:rPr>
          <w:rtl w:val="true"/>
        </w:rPr>
        <w:t>הנאשם ביקש אך לברר את נסיבות התנהגותו של נורדין</w:t>
      </w:r>
      <w:r>
        <w:rPr>
          <w:rtl w:val="true"/>
        </w:rPr>
        <w:t xml:space="preserve">, </w:t>
      </w:r>
      <w:r>
        <w:rPr>
          <w:rtl w:val="true"/>
        </w:rPr>
        <w:t>מתוך מחשבה כי בדרך זו לא יתפתח סכסוך וכי הוא יוכל להשרות את מרותו על נורדין</w:t>
      </w:r>
      <w:r>
        <w:rPr>
          <w:rtl w:val="true"/>
        </w:rPr>
        <w:t xml:space="preserve">. </w:t>
      </w:r>
      <w:r>
        <w:rPr>
          <w:rtl w:val="true"/>
        </w:rPr>
        <w:t>הודגש שהנאשם הגיע לנורדין כשפניו לשלום</w:t>
      </w:r>
      <w:r>
        <w:rPr>
          <w:rtl w:val="true"/>
        </w:rPr>
        <w:t xml:space="preserve">: </w:t>
      </w:r>
      <w:r>
        <w:rPr>
          <w:rtl w:val="true"/>
        </w:rPr>
        <w:t>הנאשם הגיע כשפניו גלויות והוא ידע שנורדין יזהה אותו</w:t>
      </w:r>
      <w:r>
        <w:rPr>
          <w:rtl w:val="true"/>
        </w:rPr>
        <w:t xml:space="preserve">. </w:t>
      </w:r>
      <w:r>
        <w:rPr>
          <w:rtl w:val="true"/>
        </w:rPr>
        <w:t>הוא לא יצא מרכבו עם נשק שלוף או כשהוא מצויד בנשק אחר המוחזק שלא כדין</w:t>
      </w:r>
      <w:r>
        <w:rPr>
          <w:rtl w:val="true"/>
        </w:rPr>
        <w:t xml:space="preserve">, </w:t>
      </w:r>
      <w:r>
        <w:rPr>
          <w:rtl w:val="true"/>
        </w:rPr>
        <w:t>אלא נשא את הנשק על גופו כחוק</w:t>
      </w:r>
      <w:r>
        <w:rPr>
          <w:rtl w:val="true"/>
        </w:rPr>
        <w:t xml:space="preserve">. </w:t>
      </w:r>
      <w:r>
        <w:rPr>
          <w:rtl w:val="true"/>
        </w:rPr>
        <w:t>אלא שנורדין שלף את נשקו וירה במהירות לכיוונו של הנאשם</w:t>
      </w:r>
      <w:r>
        <w:rPr>
          <w:rtl w:val="true"/>
        </w:rPr>
        <w:t xml:space="preserve">. </w:t>
      </w:r>
      <w:r>
        <w:rPr>
          <w:rtl w:val="true"/>
        </w:rPr>
        <w:t>באותה עת הרגיש הנאשם שהוא וחבריו נמצאים בסכנת חיים אמיתית</w:t>
      </w:r>
      <w:r>
        <w:rPr>
          <w:rtl w:val="true"/>
        </w:rPr>
        <w:t xml:space="preserve">, </w:t>
      </w:r>
      <w:r>
        <w:rPr>
          <w:rtl w:val="true"/>
        </w:rPr>
        <w:t>בין היתר נוכח הירי שביצע נורדין כלפי אחיו באירוע המקדים בלא התגרות מוקדמת</w:t>
      </w:r>
      <w:r>
        <w:rPr>
          <w:rtl w:val="true"/>
        </w:rPr>
        <w:t xml:space="preserve">, </w:t>
      </w:r>
      <w:r>
        <w:rPr>
          <w:rtl w:val="true"/>
        </w:rPr>
        <w:t>והחל לירות</w:t>
      </w:r>
      <w:r>
        <w:rPr>
          <w:rtl w:val="true"/>
        </w:rPr>
        <w:t xml:space="preserve">. </w:t>
      </w:r>
      <w:r>
        <w:rPr>
          <w:rtl w:val="true"/>
        </w:rPr>
        <w:t>לטענת הסנגור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במעין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", </w:t>
      </w:r>
      <w:r>
        <w:rPr>
          <w:rtl w:val="true"/>
        </w:rPr>
        <w:t>ולא במי שתכנן לפעול כך מבעוד מועד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הסנגור הסכים כי ירי של שמונה כדורים בתגובה לירייה אחת אינו פרופורציונאלי</w:t>
      </w:r>
      <w:r>
        <w:rPr>
          <w:rtl w:val="true"/>
        </w:rPr>
        <w:t xml:space="preserve">, </w:t>
      </w:r>
      <w:r>
        <w:rPr>
          <w:rtl w:val="true"/>
        </w:rPr>
        <w:t>אך שב והדגיש כי תגובה זו לא באה ממקור עברייני או מתכנון מוקדם אלא בנסיבות שקרו בשטח</w:t>
      </w:r>
      <w:r>
        <w:rPr>
          <w:rtl w:val="true"/>
        </w:rPr>
        <w:t xml:space="preserve">: </w:t>
      </w:r>
      <w:r>
        <w:rPr>
          <w:rtl w:val="true"/>
        </w:rPr>
        <w:t>מעשיו של נורדין באירוע ובאירוע המקדים שגם בו ירה לעבר אחי הנאשם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הסנגור ביקש לאבחן את הפסיקה שאליה הפנתה המאשימה</w:t>
      </w:r>
      <w:r>
        <w:rPr>
          <w:rtl w:val="true"/>
        </w:rPr>
        <w:t xml:space="preserve">, </w:t>
      </w:r>
      <w:r>
        <w:rPr>
          <w:rtl w:val="true"/>
        </w:rPr>
        <w:t>בציינו כי פסקי הדין המוזכרים אינם מתייחסים למקרה של ירי בתגובה לירי קודם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כמו כן נטען לחוסר הלימה בין העובדות בכתב האישום המתוקן נגד נורדין שבגינו הוא הורשע לבין המצוין בכתב האישום המתוקן נגד הנאשם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לפסקי הדין שלהלן</w:t>
      </w:r>
      <w:r>
        <w:rPr>
          <w:rtl w:val="true"/>
        </w:rPr>
        <w:t xml:space="preserve">: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1675/05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פורדרייב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20/6/05</w:t>
      </w:r>
      <w:r>
        <w:rPr>
          <w:rtl w:val="true"/>
        </w:rPr>
        <w:t xml:space="preserve">), </w:t>
      </w:r>
      <w:r>
        <w:rPr>
          <w:rtl w:val="true"/>
        </w:rPr>
        <w:t xml:space="preserve">שבו אושר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אם כי צוין כי העונש קל למדי</w:t>
      </w:r>
      <w:r>
        <w:rPr>
          <w:rtl w:val="true"/>
        </w:rPr>
        <w:t xml:space="preserve">) </w:t>
      </w:r>
      <w:r>
        <w:rPr>
          <w:rtl w:val="true"/>
        </w:rPr>
        <w:t xml:space="preserve">בגין עבירה של ניסיון לחבלה חמורה בנסיבות מחמירות </w:t>
      </w:r>
      <w:r>
        <w:rPr>
          <w:rtl w:val="true"/>
        </w:rPr>
        <w:t>(</w:t>
      </w:r>
      <w:r>
        <w:rPr>
          <w:rtl w:val="true"/>
        </w:rPr>
        <w:t>ירי מצד שוטר מג</w:t>
      </w:r>
      <w:r>
        <w:rPr>
          <w:rtl w:val="true"/>
        </w:rPr>
        <w:t>"</w:t>
      </w:r>
      <w:r>
        <w:rPr>
          <w:rtl w:val="true"/>
        </w:rPr>
        <w:t>ב במהלך ויכוח</w:t>
      </w:r>
      <w:r>
        <w:rPr>
          <w:rtl w:val="true"/>
        </w:rPr>
        <w:t xml:space="preserve">);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7535/02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2/12/02</w:t>
      </w:r>
      <w:r>
        <w:rPr>
          <w:rtl w:val="true"/>
        </w:rPr>
        <w:t xml:space="preserve">), </w:t>
      </w:r>
      <w:r>
        <w:rPr>
          <w:rtl w:val="true"/>
        </w:rPr>
        <w:t xml:space="preserve">שבו אושר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עבירה של גרימת חבלה חמורה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1683/08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20/3/08</w:t>
      </w:r>
      <w:r>
        <w:rPr>
          <w:rtl w:val="true"/>
        </w:rPr>
        <w:t xml:space="preserve">), </w:t>
      </w:r>
      <w:r>
        <w:rPr>
          <w:rtl w:val="true"/>
        </w:rPr>
        <w:t xml:space="preserve">שבו אושרו עונשי מאסר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בגין עבירות של גרימת חבלה חמורה ושל החזקת נשק וירי באזור מגורים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279/99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צלאח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12/3/00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על נאשם שבין היתר ירה במהלך קטטה בתגובה להכאת אביו</w:t>
      </w:r>
      <w:r>
        <w:rPr>
          <w:rtl w:val="true"/>
        </w:rPr>
        <w:t xml:space="preserve">, </w:t>
      </w:r>
      <w:r>
        <w:rPr>
          <w:rtl w:val="true"/>
        </w:rPr>
        <w:t>והורשע בעבירות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 ונשיאת נשק</w:t>
      </w:r>
      <w:r>
        <w:rPr>
          <w:rtl w:val="true"/>
        </w:rPr>
        <w:t xml:space="preserve">; </w:t>
      </w:r>
      <w:r>
        <w:rPr>
          <w:rtl w:val="true"/>
        </w:rPr>
        <w:t>ל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ח </w:t>
      </w:r>
      <w:r>
        <w:rPr>
          <w:color w:val="000000"/>
          <w:highlight w:val="yellow"/>
        </w:rPr>
        <w:t>1050/05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21/11/05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במצטבר לתקופת מעצר בת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 חבלה בכוונה מחמירה</w:t>
      </w:r>
      <w:r>
        <w:rPr>
          <w:rtl w:val="true"/>
        </w:rPr>
        <w:t xml:space="preserve">; </w:t>
      </w:r>
      <w:r>
        <w:rPr>
          <w:rtl w:val="true"/>
        </w:rPr>
        <w:t>ל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נצ</w:t>
      </w:r>
      <w:r>
        <w:rPr>
          <w:color w:val="000000"/>
          <w:rtl w:val="true"/>
        </w:rPr>
        <w:t xml:space="preserve">') </w:t>
      </w:r>
      <w:r>
        <w:rPr>
          <w:color w:val="000000"/>
          <w:highlight w:val="yellow"/>
        </w:rPr>
        <w:t>1083/06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בוחניק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27/5/07</w:t>
      </w:r>
      <w:r>
        <w:rPr>
          <w:rtl w:val="true"/>
        </w:rPr>
        <w:t xml:space="preserve">) </w:t>
      </w:r>
      <w:r>
        <w:rPr>
          <w:rtl w:val="true"/>
        </w:rPr>
        <w:t>שבו נגזרה שנת מאסר בפועל על אדם מבוגר בלא עבר פלילי שבעקבות סכסוך הצטייד באקדח וירה בשכנו</w:t>
      </w:r>
      <w:r>
        <w:rPr>
          <w:rtl w:val="true"/>
        </w:rPr>
        <w:t xml:space="preserve">, </w:t>
      </w:r>
      <w:r>
        <w:rPr>
          <w:rtl w:val="true"/>
        </w:rPr>
        <w:t>והורשע בעבירה של חבלה בכוונה מחמירה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2084/06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קבועה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19/2/09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על מאבטח שירה והורשע בעבירה של פציעה בנסיבות מחמירות</w:t>
      </w:r>
      <w:r>
        <w:rPr>
          <w:rtl w:val="true"/>
        </w:rPr>
        <w:t xml:space="preserve">;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40331/05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 ענאם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5/11/06</w:t>
      </w:r>
      <w:r>
        <w:rPr>
          <w:rtl w:val="true"/>
        </w:rPr>
        <w:t xml:space="preserve">) </w:t>
      </w:r>
      <w:r>
        <w:rPr>
          <w:rtl w:val="true"/>
        </w:rPr>
        <w:t xml:space="preserve">שבו 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על צעיר בלא עבר פלילי</w:t>
      </w:r>
      <w:r>
        <w:rPr>
          <w:rtl w:val="true"/>
        </w:rPr>
        <w:t xml:space="preserve">, </w:t>
      </w:r>
      <w:r>
        <w:rPr>
          <w:rtl w:val="true"/>
        </w:rPr>
        <w:t>בגין עבירות של חבלה חמורה בנסיבות מחמירות ונשיאת נשק</w:t>
      </w:r>
      <w:r>
        <w:rPr>
          <w:rtl w:val="true"/>
        </w:rPr>
        <w:t xml:space="preserve">; </w:t>
      </w:r>
      <w:r>
        <w:rPr>
          <w:rtl w:val="true"/>
        </w:rPr>
        <w:t>ול</w:t>
      </w:r>
      <w:hyperlink r:id="rId2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</w:rPr>
          <w:t>1145/05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27/6/06</w:t>
      </w:r>
      <w:r>
        <w:rPr>
          <w:rtl w:val="true"/>
        </w:rPr>
        <w:t xml:space="preserve">), </w:t>
      </w:r>
      <w:r>
        <w:rPr>
          <w:rtl w:val="true"/>
        </w:rPr>
        <w:t xml:space="preserve">שבו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עבירות של חבלה ופציעה בנסיבות מחמירות ונשיאת נשק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הטעים כי לנאשם אין רישום פלילי כלשהו</w:t>
      </w:r>
      <w:r>
        <w:rPr>
          <w:rtl w:val="true"/>
        </w:rPr>
        <w:t xml:space="preserve">, </w:t>
      </w:r>
      <w:r>
        <w:rPr>
          <w:rtl w:val="true"/>
        </w:rPr>
        <w:t>וכי בזמן המקרה הוא שירת כחייל</w:t>
      </w:r>
      <w:r>
        <w:rPr>
          <w:rtl w:val="true"/>
        </w:rPr>
        <w:t>-</w:t>
      </w:r>
      <w:r>
        <w:rPr>
          <w:rtl w:val="true"/>
        </w:rPr>
        <w:t>שוטר במשטרת ישראל</w:t>
      </w:r>
      <w:r>
        <w:rPr>
          <w:rtl w:val="true"/>
        </w:rPr>
        <w:t xml:space="preserve">. </w:t>
      </w:r>
      <w:r>
        <w:rPr>
          <w:rtl w:val="true"/>
        </w:rPr>
        <w:t>בעקבות האירוע מושא כתב האישום פוטר הנאשם מתפקידו</w:t>
      </w:r>
      <w:r>
        <w:rPr>
          <w:rtl w:val="true"/>
        </w:rPr>
        <w:t xml:space="preserve">, </w:t>
      </w:r>
      <w:r>
        <w:rPr>
          <w:rtl w:val="true"/>
        </w:rPr>
        <w:t>וחלומו לשרת כשוטר נגדע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הנאשם הודה כבר בהזדמנות הראשונה </w:t>
      </w:r>
      <w:r>
        <w:rPr>
          <w:rtl w:val="true"/>
        </w:rPr>
        <w:t>(</w:t>
      </w:r>
      <w:r>
        <w:rPr>
          <w:rtl w:val="true"/>
        </w:rPr>
        <w:t>במשטרה</w:t>
      </w:r>
      <w:r>
        <w:rPr>
          <w:rtl w:val="true"/>
        </w:rPr>
        <w:t xml:space="preserve">) </w:t>
      </w:r>
      <w:r>
        <w:rPr>
          <w:rtl w:val="true"/>
        </w:rPr>
        <w:t>וכן לפני בית המשפט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הודגש כי על פי התסקיר</w:t>
      </w:r>
      <w:r>
        <w:rPr>
          <w:rtl w:val="true"/>
        </w:rPr>
        <w:t xml:space="preserve">, </w:t>
      </w:r>
      <w:r>
        <w:rPr>
          <w:rtl w:val="true"/>
        </w:rPr>
        <w:t>אין לנאשם נורמות עברייניות מושרשות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הוסיף וטען כי שירות המבחן טעה באבחנה בעניינו של הנאשם</w:t>
      </w:r>
      <w:r>
        <w:rPr>
          <w:rtl w:val="true"/>
        </w:rPr>
        <w:t xml:space="preserve">, </w:t>
      </w:r>
      <w:r>
        <w:rPr>
          <w:rtl w:val="true"/>
        </w:rPr>
        <w:t>בכך שלא האמין לו שהוא רצה ליישב את הסכסוך ולברר את נסיבות האירוע המקדים ולא לפעול להסלמת הסכסוך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עוד כי יש הצדקה לאבחן לקולא את העונש של הנאשם מזה שהושת על נורדין</w:t>
      </w:r>
      <w:r>
        <w:rPr>
          <w:rtl w:val="true"/>
        </w:rPr>
        <w:t xml:space="preserve">, </w:t>
      </w:r>
      <w:r>
        <w:rPr>
          <w:rtl w:val="true"/>
        </w:rPr>
        <w:t>אשר הנו בעל עבר פלילי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עתר אפוא להסתפק בעונש של עבודות שירות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 הביע חרטה וצער על הנזק שגרם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2"/>
        <w:ind w:end="0"/>
        <w:jc w:val="start"/>
        <w:rPr/>
      </w:pPr>
      <w:r>
        <w:rPr>
          <w:rtl w:val="true"/>
        </w:rPr>
        <w:t>דיון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 עבר עבירות חמורות ומסוכנות</w:t>
      </w:r>
      <w:r>
        <w:rPr>
          <w:rtl w:val="true"/>
        </w:rPr>
        <w:t xml:space="preserve">, </w:t>
      </w:r>
      <w:r>
        <w:rPr>
          <w:rtl w:val="true"/>
        </w:rPr>
        <w:t>שאך בנס לא הסתיימו בתוצאה קטלנית</w:t>
      </w:r>
      <w:r>
        <w:rPr>
          <w:rtl w:val="true"/>
        </w:rPr>
        <w:t xml:space="preserve">, </w:t>
      </w:r>
      <w:r>
        <w:rPr>
          <w:rtl w:val="true"/>
        </w:rPr>
        <w:t>וכתוצאה ממעשיו נפצעו שניים</w:t>
      </w:r>
      <w:r>
        <w:rPr>
          <w:rtl w:val="true"/>
        </w:rPr>
        <w:t xml:space="preserve">, </w:t>
      </w:r>
      <w:r>
        <w:rPr>
          <w:rtl w:val="true"/>
        </w:rPr>
        <w:t>נורדין ועומר</w:t>
      </w:r>
      <w:r>
        <w:rPr>
          <w:rtl w:val="true"/>
        </w:rPr>
        <w:t xml:space="preserve">, </w:t>
      </w:r>
      <w:r>
        <w:rPr>
          <w:rtl w:val="true"/>
        </w:rPr>
        <w:t>פציעה שאינה קלה</w:t>
      </w:r>
      <w:r>
        <w:rPr>
          <w:rtl w:val="true"/>
        </w:rPr>
        <w:t xml:space="preserve">, </w:t>
      </w:r>
      <w:r>
        <w:rPr>
          <w:rtl w:val="true"/>
        </w:rPr>
        <w:t>כמתואר בכתב האישום ובת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הנאשם עשה שימוש בכלי נשק קטלני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פגיעתו של נשק חם עלולה להיות רעה הן למי שאליו מופנה הנשק ישירות והן לעוברים ולשבים תמימים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לכך</w:t>
      </w:r>
      <w:r>
        <w:rPr>
          <w:rtl w:val="true"/>
        </w:rPr>
        <w:t xml:space="preserve"> מתווספת נסיבה מחמירה נוספת</w:t>
      </w:r>
      <w:r>
        <w:rPr>
          <w:rtl w:val="true"/>
        </w:rPr>
        <w:t xml:space="preserve">, </w:t>
      </w:r>
      <w:r>
        <w:rPr>
          <w:rtl w:val="true"/>
        </w:rPr>
        <w:t>והיא שהנאשם עשה שלא כדין שימוש בנשק שניתן לו לצורך מילוי תפקידו כשוטר</w:t>
      </w:r>
      <w:r>
        <w:rPr>
          <w:rtl w:val="true"/>
        </w:rPr>
        <w:t xml:space="preserve">. </w:t>
      </w:r>
      <w:r>
        <w:rPr>
          <w:rtl w:val="true"/>
        </w:rPr>
        <w:t>משנה חומרה יש בעשיית דין עצמי ובנטילת החוק לידיים</w:t>
      </w:r>
      <w:r>
        <w:rPr>
          <w:rtl w:val="true"/>
        </w:rPr>
        <w:t xml:space="preserve">, </w:t>
      </w:r>
      <w:r>
        <w:rPr>
          <w:rtl w:val="true"/>
        </w:rPr>
        <w:t>דווקא על</w:t>
      </w:r>
      <w:r>
        <w:rPr>
          <w:rtl w:val="true"/>
        </w:rPr>
        <w:t>-</w:t>
      </w:r>
      <w:r>
        <w:rPr>
          <w:rtl w:val="true"/>
        </w:rPr>
        <w:t>ידי איש חוק</w:t>
      </w:r>
      <w:r>
        <w:rPr>
          <w:rtl w:val="true"/>
        </w:rPr>
        <w:t xml:space="preserve">. </w:t>
      </w:r>
      <w:r>
        <w:rPr>
          <w:rtl w:val="true"/>
        </w:rPr>
        <w:t>נפסק כי על בתי</w:t>
      </w:r>
      <w:r>
        <w:rPr>
          <w:rtl w:val="true"/>
        </w:rPr>
        <w:t>-</w:t>
      </w:r>
      <w:r>
        <w:rPr>
          <w:rtl w:val="true"/>
        </w:rPr>
        <w:t xml:space="preserve">המשפט </w:t>
      </w:r>
      <w:r>
        <w:rPr>
          <w:rtl w:val="true"/>
        </w:rPr>
        <w:t>"</w:t>
      </w:r>
      <w:r>
        <w:rPr>
          <w:rtl w:val="true"/>
        </w:rPr>
        <w:t>לאותת בהתמדה שאט נפש שיפוטי מעבירות בנשק על</w:t>
      </w:r>
      <w:r>
        <w:rPr>
          <w:rtl w:val="true"/>
        </w:rPr>
        <w:t>-</w:t>
      </w:r>
      <w:r>
        <w:rPr>
          <w:rtl w:val="true"/>
        </w:rPr>
        <w:t>ידי ענישה מחמירה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בזכרנו כי רבים בישראל נושאים נשק חם במסגרת שירותם הצבאי</w:t>
      </w:r>
      <w:r>
        <w:rPr>
          <w:rtl w:val="true"/>
        </w:rPr>
        <w:t xml:space="preserve">, </w:t>
      </w:r>
      <w:r>
        <w:rPr>
          <w:rtl w:val="true"/>
        </w:rPr>
        <w:t>ועל כן הוא נפוץ בפועל בכמויות גדולות</w:t>
      </w:r>
      <w:r>
        <w:rPr>
          <w:rtl w:val="true"/>
        </w:rPr>
        <w:t>" 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479/09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בפסקה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כל ניסיון לפתור סכסוכים בנשק קר או חם מחייב תגובה עונשית הולמת</w:t>
      </w:r>
      <w:r>
        <w:rPr>
          <w:rtl w:val="true"/>
        </w:rPr>
        <w:t xml:space="preserve">, </w:t>
      </w:r>
      <w:r>
        <w:rPr>
          <w:rtl w:val="true"/>
        </w:rPr>
        <w:t xml:space="preserve">להרתעת היחיד והרבים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479/09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קשאש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2909/04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סדון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 דנא</w:t>
      </w:r>
      <w:r>
        <w:rPr>
          <w:rtl w:val="true"/>
        </w:rPr>
        <w:t xml:space="preserve">, </w:t>
      </w:r>
      <w:r>
        <w:rPr>
          <w:rtl w:val="true"/>
        </w:rPr>
        <w:t xml:space="preserve">לזכותו של הנאשם יש להתחשב </w:t>
      </w:r>
      <w:r>
        <w:rPr>
          <w:rtl w:val="true"/>
        </w:rPr>
        <w:t>בין היתר ו</w:t>
      </w:r>
      <w:r>
        <w:rPr>
          <w:rtl w:val="true"/>
        </w:rPr>
        <w:t>ב</w:t>
      </w:r>
      <w:r>
        <w:rPr>
          <w:rtl w:val="true"/>
        </w:rPr>
        <w:t>עיקר ב</w:t>
      </w:r>
      <w:r>
        <w:rPr>
          <w:rtl w:val="true"/>
        </w:rPr>
        <w:t>כך ש</w:t>
      </w:r>
      <w:r>
        <w:rPr>
          <w:b/>
          <w:b/>
          <w:bCs/>
          <w:rtl w:val="true"/>
        </w:rPr>
        <w:t>אין</w:t>
      </w:r>
      <w:r>
        <w:rPr>
          <w:rtl w:val="true"/>
        </w:rPr>
        <w:t xml:space="preserve"> מדובר במעשים שתוכננו על ידו מראש</w:t>
      </w:r>
      <w:r>
        <w:rPr>
          <w:rtl w:val="true"/>
        </w:rPr>
        <w:t xml:space="preserve">. </w:t>
      </w:r>
      <w:r>
        <w:rPr>
          <w:rtl w:val="true"/>
        </w:rPr>
        <w:t>בכתב האישום צוין כי הנאשם החליט לחפש את נורדין ולברר עמו את הסיבות להתנהגותו – וזאת בלבד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הנאשם שלף את נשקו </w:t>
      </w:r>
      <w:r>
        <w:rPr>
          <w:b/>
          <w:b/>
          <w:bCs/>
          <w:rtl w:val="true"/>
        </w:rPr>
        <w:t xml:space="preserve">רק בעקבות </w:t>
      </w:r>
      <w:r>
        <w:rPr>
          <w:rtl w:val="true"/>
        </w:rPr>
        <w:t>הירייה שירה נורדין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אלא שהנאשם ירה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ולא רק כלפי נורדין אלא גם כלפי עומר שישב לידו</w:t>
      </w:r>
      <w:r>
        <w:rPr>
          <w:rtl w:val="true"/>
        </w:rPr>
        <w:t xml:space="preserve">, </w:t>
      </w:r>
      <w:r>
        <w:rPr>
          <w:rtl w:val="true"/>
        </w:rPr>
        <w:t>וברי כי תגובה זו אינה פרופורציונאלית בעליל והיא חמורה ומחייבת ענישה ממשית ומרתיעה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במקרים דומים שבהם הורשעו נאשמים נעדרי עבר פלילי בגין עבירה של גרימת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בנסיבות שבהן המעשה נעשה מתוך תחושת איום או לאחר התגרות קודמת</w:t>
      </w:r>
      <w:r>
        <w:rPr>
          <w:rtl w:val="true"/>
        </w:rPr>
        <w:t xml:space="preserve">, </w:t>
      </w:r>
      <w:r>
        <w:rPr>
          <w:rtl w:val="true"/>
        </w:rPr>
        <w:t xml:space="preserve">הוטלו עונשי מאסר בפועל של </w:t>
      </w:r>
      <w:r>
        <w:rPr/>
        <w:t>15-18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דינר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28/11/05</w:t>
      </w:r>
      <w:r>
        <w:rPr>
          <w:rtl w:val="true"/>
        </w:rPr>
        <w:t xml:space="preserve">);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2866/11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בן יוסף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3/5/12</w:t>
      </w:r>
      <w:r>
        <w:rPr>
          <w:rtl w:val="true"/>
        </w:rPr>
        <w:t xml:space="preserve">);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4061/12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 xml:space="preserve">בדראנה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4/9/12</w:t>
      </w:r>
      <w:r>
        <w:rPr>
          <w:rtl w:val="true"/>
        </w:rPr>
        <w:t xml:space="preserve">)). 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 לאחר שהתחשבתי לקולה בעובדה שמדובר בירי בתגובה לירי קודם וביתר השיקולים לקולה לגבי הנאשם</w:t>
      </w:r>
      <w:r>
        <w:rPr>
          <w:rtl w:val="true"/>
        </w:rPr>
        <w:t xml:space="preserve">, </w:t>
      </w:r>
      <w:r>
        <w:rPr>
          <w:rtl w:val="true"/>
        </w:rPr>
        <w:t>לרבות העדר עבר פלילי וניהול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גילו הצעיר בעת ביצוע העבירה וגם כיום </w:t>
      </w:r>
      <w:r>
        <w:rPr>
          <w:rtl w:val="true"/>
        </w:rPr>
        <w:t>(</w:t>
      </w:r>
      <w:r>
        <w:rPr>
          <w:rtl w:val="true"/>
        </w:rPr>
        <w:t xml:space="preserve">הנאשם הוא יליד </w:t>
      </w:r>
      <w:r>
        <w:rPr/>
        <w:t>1990</w:t>
      </w:r>
      <w:r>
        <w:rPr>
          <w:rtl w:val="true"/>
        </w:rPr>
        <w:t xml:space="preserve">), </w:t>
      </w:r>
      <w:r>
        <w:rPr>
          <w:rtl w:val="true"/>
        </w:rPr>
        <w:t>הודאתו והחיסכון בזמן השיפוטי</w:t>
      </w:r>
      <w:r>
        <w:rPr>
          <w:rtl w:val="true"/>
        </w:rPr>
        <w:t xml:space="preserve"> </w:t>
      </w:r>
      <w:r>
        <w:rPr>
          <w:rtl w:val="true"/>
        </w:rPr>
        <w:t>– אין לקבל את עתירת הסנגור המבקש להסתפק בעבודות שירות</w:t>
      </w:r>
      <w:r>
        <w:rPr>
          <w:rtl w:val="true"/>
        </w:rPr>
        <w:t xml:space="preserve">. </w:t>
      </w:r>
      <w:r>
        <w:rPr>
          <w:rtl w:val="true"/>
        </w:rPr>
        <w:t>מעשי הנאשם חמורים מכדי לאפשר ענישה מקלה מעין זו</w:t>
      </w:r>
      <w:r>
        <w:rPr>
          <w:rtl w:val="true"/>
        </w:rPr>
        <w:t xml:space="preserve">, </w:t>
      </w:r>
      <w:r>
        <w:rPr>
          <w:rtl w:val="true"/>
        </w:rPr>
        <w:t>אשר תחטיא את מטרת הענישה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  <w:rtl w:val="true"/>
        </w:rPr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10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ascii="Courier New" w:hAnsi="Courier New" w:cs="Courier New"/>
          <w:rtl w:val="true"/>
        </w:rPr>
        <w:t>כזכור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נורדין נידון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בין היתר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לעונש של שנתיים מאסר בפועל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מקום בו מורשעים נאשמים אחדים באותה פרשה</w:t>
      </w:r>
      <w:r>
        <w:rPr>
          <w:rtl w:val="true"/>
        </w:rPr>
        <w:t xml:space="preserve">, </w:t>
      </w:r>
      <w:r>
        <w:rPr>
          <w:rtl w:val="true"/>
        </w:rPr>
        <w:t>ומעשיהם דומים</w:t>
      </w:r>
      <w:r>
        <w:rPr>
          <w:rtl w:val="true"/>
        </w:rPr>
        <w:t xml:space="preserve">, </w:t>
      </w:r>
      <w:r>
        <w:rPr>
          <w:rtl w:val="true"/>
        </w:rPr>
        <w:t xml:space="preserve">ככלל יש לשקול להטיל עליהם עונש דומה </w:t>
      </w:r>
      <w:r>
        <w:rPr>
          <w:rtl w:val="true"/>
        </w:rPr>
        <w:t>(</w:t>
      </w:r>
      <w:r>
        <w:rPr>
          <w:rtl w:val="true"/>
        </w:rPr>
        <w:t>ראו למשל והשוו</w:t>
      </w:r>
      <w:r>
        <w:rPr>
          <w:rtl w:val="true"/>
        </w:rPr>
        <w:t xml:space="preserve">: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9937/01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חורב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נח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738</w:t>
      </w:r>
      <w:r>
        <w:rPr>
          <w:rtl w:val="true"/>
        </w:rPr>
        <w:t xml:space="preserve">, </w:t>
      </w:r>
      <w:r>
        <w:rPr/>
        <w:t>752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עקרון אחידות הענישה אינו חזות הכול ויכול שהוא ייסוג מפני עקרונות וערכים אחרים או מפני נסיבות מיוחדות של אחד הנאשמים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6672/03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קמינסקי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441</w:t>
      </w:r>
      <w:r>
        <w:rPr>
          <w:rtl w:val="true"/>
        </w:rPr>
        <w:t xml:space="preserve">, </w:t>
      </w:r>
      <w:r>
        <w:rPr/>
        <w:t>447</w:t>
      </w:r>
      <w:r>
        <w:rPr>
          <w:rtl w:val="true"/>
        </w:rPr>
        <w:t xml:space="preserve">). </w:t>
      </w:r>
    </w:p>
    <w:p>
      <w:pPr>
        <w:pStyle w:val="Style14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בגזירת הדין הבאתי בחשבון הן את חומרת חלקם היחסי של הנאשם ושל נורדין והן את סוגיית העבר הפלילי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 xml:space="preserve">בלי להקל ראש בחומרה הרבה של מעשיו של הנאשם </w:t>
      </w:r>
      <w:r>
        <w:rPr>
          <w:rFonts w:cs="Courier New" w:ascii="Courier New" w:hAnsi="Courier New"/>
          <w:rtl w:val="true"/>
        </w:rPr>
        <w:t>(</w:t>
      </w:r>
      <w:r>
        <w:rPr>
          <w:rFonts w:ascii="Courier New" w:hAnsi="Courier New" w:cs="Courier New"/>
          <w:rtl w:val="true"/>
        </w:rPr>
        <w:t>אשר השתמש בנשק שניתן לו במסגרת תפקידו כשוטר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ואשר ירה יריות רבות כלפי המתלוננים ופצע אותם</w:t>
      </w:r>
      <w:r>
        <w:rPr>
          <w:rFonts w:cs="Courier New" w:ascii="Courier New" w:hAnsi="Courier New"/>
          <w:rtl w:val="true"/>
        </w:rPr>
        <w:t xml:space="preserve">), </w:t>
      </w:r>
      <w:r>
        <w:rPr>
          <w:rFonts w:ascii="Courier New" w:hAnsi="Courier New" w:cs="Courier New"/>
          <w:rtl w:val="true"/>
        </w:rPr>
        <w:t>נורדין הוא שירה את הירייה הראשונה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כלפי הנאשם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בלא סיבה לכאורה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כמו כן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לזכות הנאשם עומד עברו הנקי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בהבדל מנורדין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עוד יש לזכור כי העונש שהוטל על נורדין התייחס גם לעבירות נוספות – בגין האירוע המקדים</w:t>
      </w:r>
      <w:r>
        <w:rPr>
          <w:rFonts w:cs="Courier New" w:ascii="Courier New" w:hAnsi="Courier New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טעמים אלו מצדיקים להקל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במידה משמעותית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בעונש של הנאשם בהשוואה לעונש שהוטל על נורדין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11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ascii="Courier New" w:hAnsi="Courier New" w:cs="Courier New"/>
          <w:rtl w:val="true"/>
        </w:rPr>
        <w:t>סוף דבר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לאחר שנתתי את דעתי למכלול שיקולי הענישה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ובראשם שיקול ההלימה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ובכלל זה גם שיקולי ההרתעה של הנאשם ושל הרבים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וכן שיקול ההגנה על שלום הציבור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ולאחר בחינת כל השיקולים והנסיבות לחומרה ולקולה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>תוך איזון ראוי ביניהם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וכן לאחר שנתתי דעתי לעונש שנגזר על נורדין </w:t>
      </w:r>
      <w:r>
        <w:rPr>
          <w:rtl w:val="true"/>
        </w:rPr>
        <w:t>וכן לחלוף הזמן מאז בוצעה העבירה</w:t>
      </w:r>
      <w:r>
        <w:rPr>
          <w:rtl w:val="true"/>
        </w:rPr>
        <w:t>,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החלטתי להטיל על הנאשם את העונשים הבאים</w:t>
      </w:r>
      <w:r>
        <w:rPr>
          <w:rFonts w:cs="Courier New" w:ascii="Courier New" w:hAnsi="Courier New"/>
          <w:rtl w:val="true"/>
        </w:rPr>
        <w:t xml:space="preserve">: 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א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cs="Courier New" w:ascii="Courier New" w:hAnsi="Courier New"/>
        </w:rPr>
        <w:t>15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חודשי מאסר בפועל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בניכוי ימי המעצר בפועל בין </w:t>
      </w:r>
      <w:r>
        <w:rPr>
          <w:rFonts w:cs="Courier New" w:ascii="Courier New" w:hAnsi="Courier New"/>
        </w:rPr>
        <w:t>25/9/10-22/11/10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ב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cs="Courier New" w:ascii="Courier New" w:hAnsi="Courier New"/>
        </w:rPr>
        <w:t>1</w:t>
      </w:r>
      <w:r>
        <w:rPr>
          <w:rFonts w:cs="Courier New" w:ascii="Courier New" w:hAnsi="Courier New"/>
        </w:rPr>
        <w:t>8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חודשי מאסר על תנאי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והתנאי הוא שלא יעבור במשך </w:t>
      </w:r>
      <w:r>
        <w:rPr>
          <w:rFonts w:cs="Courier New" w:ascii="Courier New" w:hAnsi="Courier New"/>
        </w:rPr>
        <w:t>3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 xml:space="preserve">שנים משחרורו ממאסר עבירת אלימות </w:t>
      </w:r>
      <w:r>
        <w:rPr>
          <w:rFonts w:ascii="Courier New" w:hAnsi="Courier New" w:cs="Courier New"/>
          <w:rtl w:val="true"/>
        </w:rPr>
        <w:t xml:space="preserve">או עבירת נשק </w:t>
      </w:r>
      <w:r>
        <w:rPr>
          <w:rFonts w:ascii="Courier New" w:hAnsi="Courier New" w:cs="Courier New"/>
          <w:rtl w:val="true"/>
        </w:rPr>
        <w:t>מסוג פשע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ג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cs="Courier New" w:ascii="Courier New" w:hAnsi="Courier New"/>
        </w:rPr>
        <w:t>6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חודשי מאסר על תנאי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והתנאי הוא שלא יעבור במשך </w:t>
      </w:r>
      <w:r>
        <w:rPr>
          <w:rFonts w:cs="Courier New" w:ascii="Courier New" w:hAnsi="Courier New"/>
        </w:rPr>
        <w:t>3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שנים משחרורו ממאסר עבירת אלימות מסוג עוון</w:t>
      </w:r>
      <w:r>
        <w:rPr>
          <w:rFonts w:cs="Courier New" w:ascii="Courier New" w:hAnsi="Courier New"/>
          <w:rtl w:val="true"/>
        </w:rPr>
        <w:t>.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ד</w:t>
      </w:r>
      <w:r>
        <w:rPr>
          <w:rFonts w:cs="Courier New" w:ascii="Courier New" w:hAnsi="Courier New"/>
          <w:rtl w:val="true"/>
        </w:rPr>
        <w:t>.</w:t>
        <w:tab/>
      </w:r>
      <w:r>
        <w:rPr>
          <w:rFonts w:ascii="Courier New" w:hAnsi="Courier New" w:cs="Courier New"/>
          <w:rtl w:val="true"/>
        </w:rPr>
        <w:t xml:space="preserve">קנס בסך </w:t>
      </w:r>
      <w:r>
        <w:rPr>
          <w:rFonts w:cs="Courier New" w:ascii="Courier New" w:hAnsi="Courier New"/>
        </w:rPr>
        <w:t>2,000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ש</w:t>
      </w:r>
      <w:r>
        <w:rPr>
          <w:rFonts w:cs="Courier New" w:ascii="Courier New" w:hAnsi="Courier New"/>
          <w:rtl w:val="true"/>
        </w:rPr>
        <w:t>"</w:t>
      </w:r>
      <w:r>
        <w:rPr>
          <w:rFonts w:ascii="Courier New" w:hAnsi="Courier New" w:cs="Courier New"/>
          <w:rtl w:val="true"/>
        </w:rPr>
        <w:t xml:space="preserve">ח או </w:t>
      </w:r>
      <w:r>
        <w:rPr>
          <w:rFonts w:cs="Courier New" w:ascii="Courier New" w:hAnsi="Courier New"/>
        </w:rPr>
        <w:t>30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ימי מאסר תמורתו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אשר ישולם בתוך </w:t>
      </w:r>
      <w:r>
        <w:rPr>
          <w:rFonts w:cs="Courier New" w:ascii="Courier New" w:hAnsi="Courier New"/>
        </w:rPr>
        <w:t>90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ימים מהיום</w:t>
      </w:r>
      <w:r>
        <w:rPr>
          <w:rFonts w:cs="Courier New" w:ascii="Courier New" w:hAnsi="Courier New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rtl w:val="true"/>
        </w:rPr>
        <w:t>כמו כן ישלם הנאשם פיצוי למתלונן נורדין ופיצוי למתלונן עומר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בסך </w:t>
      </w:r>
      <w:r>
        <w:rPr>
          <w:rFonts w:cs="Courier New" w:ascii="Courier New" w:hAnsi="Courier New"/>
        </w:rPr>
        <w:t>4,000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ש</w:t>
      </w:r>
      <w:r>
        <w:rPr>
          <w:rFonts w:cs="Courier New" w:ascii="Courier New" w:hAnsi="Courier New"/>
          <w:rtl w:val="true"/>
        </w:rPr>
        <w:t>"</w:t>
      </w:r>
      <w:r>
        <w:rPr>
          <w:rFonts w:ascii="Courier New" w:hAnsi="Courier New" w:cs="Courier New"/>
          <w:rtl w:val="true"/>
        </w:rPr>
        <w:t>ח לכל אחד</w:t>
      </w:r>
      <w:r>
        <w:rPr>
          <w:rFonts w:cs="Courier New" w:ascii="Courier New" w:hAnsi="Courier New"/>
          <w:rtl w:val="true"/>
        </w:rPr>
        <w:t xml:space="preserve">, </w:t>
      </w:r>
      <w:r>
        <w:rPr>
          <w:rFonts w:ascii="Courier New" w:hAnsi="Courier New" w:cs="Courier New"/>
          <w:rtl w:val="true"/>
        </w:rPr>
        <w:t xml:space="preserve">בתוך </w:t>
      </w:r>
      <w:r>
        <w:rPr>
          <w:rFonts w:cs="Courier New" w:ascii="Courier New" w:hAnsi="Courier New"/>
        </w:rPr>
        <w:t>90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ימים מהיום</w:t>
      </w:r>
      <w:r>
        <w:rPr>
          <w:rFonts w:cs="Courier New" w:ascii="Courier New" w:hAnsi="Courier New"/>
          <w:rtl w:val="true"/>
        </w:rPr>
        <w:t xml:space="preserve">. </w:t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Style14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Style14"/>
        <w:ind w:end="0"/>
        <w:jc w:val="both"/>
        <w:rPr/>
      </w:pPr>
      <w:r>
        <w:rPr>
          <w:rFonts w:eastAsia="Courier New"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 xml:space="preserve">זכות ערעור בתוך </w:t>
      </w:r>
      <w:r>
        <w:rPr>
          <w:rFonts w:cs="Courier New" w:ascii="Courier New" w:hAnsi="Courier New"/>
        </w:rPr>
        <w:t>45</w:t>
      </w:r>
      <w:r>
        <w:rPr>
          <w:rFonts w:cs="Courier New" w:ascii="Courier New" w:hAnsi="Courier New"/>
          <w:rtl w:val="true"/>
        </w:rPr>
        <w:t xml:space="preserve"> </w:t>
      </w:r>
      <w:r>
        <w:rPr>
          <w:rFonts w:ascii="Courier New" w:hAnsi="Courier New" w:cs="Courier New"/>
          <w:rtl w:val="true"/>
        </w:rPr>
        <w:t>ימים מהיום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tbl>
      <w:tblPr>
        <w:tblpPr w:vertAnchor="text" w:horzAnchor="page" w:leftFromText="180" w:rightFromText="180" w:tblpX="1277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7"/>
      </w:tblGrid>
      <w:tr>
        <w:trPr/>
        <w:tc>
          <w:tcPr>
            <w:tcW w:w="25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5467831354678313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ניסן תשע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sz w:val="26"/>
                <w:szCs w:val="26"/>
              </w:rPr>
              <w:t>18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rFonts w:cs="Arial" w:ascii="Arial" w:hAnsi="Arial"/>
                <w:sz w:val="26"/>
                <w:szCs w:val="26"/>
              </w:rPr>
              <w:t>2013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במעמד הצדדים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. </w:t>
            </w:r>
          </w:p>
        </w:tc>
      </w:tr>
      <w:tr>
        <w:trPr>
          <w:trHeight w:val="427" w:hRule="atLeast"/>
        </w:trPr>
        <w:tc>
          <w:tcPr>
            <w:tcW w:w="251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29331-10-10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רפאת אבו עמאר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תבנית רגיל תו"/>
    <w:qFormat/>
    <w:rPr>
      <w:rFonts w:ascii="Times" w:hAnsi="Times" w:cs="Davi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 w:val="26"/>
      <w:szCs w:val="26"/>
    </w:rPr>
  </w:style>
  <w:style w:type="paragraph" w:styleId="2">
    <w:name w:val="תבנית כותרת 2"/>
    <w:basedOn w:val="Heading2"/>
    <w:next w:val="Style14"/>
    <w:qFormat/>
    <w:pPr>
      <w:numPr>
        <w:ilvl w:val="0"/>
        <w:numId w:val="0"/>
      </w:numPr>
      <w:ind w:firstLine="720" w:start="0" w:end="0"/>
      <w:outlineLvl w:val="9"/>
    </w:pPr>
    <w:rPr>
      <w:rFonts w:cs="Miriam"/>
      <w:b w:val="false"/>
      <w:i w:val="false"/>
      <w:iCs w:val="false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35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4506071" TargetMode="External"/><Relationship Id="rId9" Type="http://schemas.openxmlformats.org/officeDocument/2006/relationships/hyperlink" Target="http://www.nevo.co.il/case/5704669" TargetMode="External"/><Relationship Id="rId10" Type="http://schemas.openxmlformats.org/officeDocument/2006/relationships/hyperlink" Target="http://www.nevo.co.il/case/5969313" TargetMode="External"/><Relationship Id="rId11" Type="http://schemas.openxmlformats.org/officeDocument/2006/relationships/hyperlink" Target="http://www.nevo.co.il/case/6030667" TargetMode="External"/><Relationship Id="rId12" Type="http://schemas.openxmlformats.org/officeDocument/2006/relationships/hyperlink" Target="http://www.nevo.co.il/case/5864075" TargetMode="External"/><Relationship Id="rId13" Type="http://schemas.openxmlformats.org/officeDocument/2006/relationships/hyperlink" Target="http://www.nevo.co.il/case/5864075" TargetMode="External"/><Relationship Id="rId14" Type="http://schemas.openxmlformats.org/officeDocument/2006/relationships/hyperlink" Target="http://www.nevo.co.il/case/3518873" TargetMode="External"/><Relationship Id="rId15" Type="http://schemas.openxmlformats.org/officeDocument/2006/relationships/hyperlink" Target="http://www.nevo.co.il/case/2538651" TargetMode="External"/><Relationship Id="rId16" Type="http://schemas.openxmlformats.org/officeDocument/2006/relationships/hyperlink" Target="http://www.nevo.co.il/case/4277163" TargetMode="External"/><Relationship Id="rId17" Type="http://schemas.openxmlformats.org/officeDocument/2006/relationships/hyperlink" Target="http://www.nevo.co.il/case/5784355" TargetMode="External"/><Relationship Id="rId18" Type="http://schemas.openxmlformats.org/officeDocument/2006/relationships/hyperlink" Target="http://www.nevo.co.il/case/6106416" TargetMode="External"/><Relationship Id="rId19" Type="http://schemas.openxmlformats.org/officeDocument/2006/relationships/hyperlink" Target="http://www.nevo.co.il/case/5784612" TargetMode="External"/><Relationship Id="rId20" Type="http://schemas.openxmlformats.org/officeDocument/2006/relationships/hyperlink" Target="http://www.nevo.co.il/case/748361" TargetMode="External"/><Relationship Id="rId21" Type="http://schemas.openxmlformats.org/officeDocument/2006/relationships/hyperlink" Target="http://www.nevo.co.il/case/492296" TargetMode="External"/><Relationship Id="rId22" Type="http://schemas.openxmlformats.org/officeDocument/2006/relationships/hyperlink" Target="http://www.nevo.co.il/case/463037" TargetMode="External"/><Relationship Id="rId23" Type="http://schemas.openxmlformats.org/officeDocument/2006/relationships/hyperlink" Target="http://www.nevo.co.il/case/415177" TargetMode="External"/><Relationship Id="rId24" Type="http://schemas.openxmlformats.org/officeDocument/2006/relationships/hyperlink" Target="http://www.nevo.co.il/case/5704669" TargetMode="External"/><Relationship Id="rId25" Type="http://schemas.openxmlformats.org/officeDocument/2006/relationships/hyperlink" Target="http://www.nevo.co.il/case/5704669" TargetMode="External"/><Relationship Id="rId26" Type="http://schemas.openxmlformats.org/officeDocument/2006/relationships/hyperlink" Target="http://www.nevo.co.il/case/6030667" TargetMode="External"/><Relationship Id="rId27" Type="http://schemas.openxmlformats.org/officeDocument/2006/relationships/hyperlink" Target="http://www.nevo.co.il/case/5864075" TargetMode="External"/><Relationship Id="rId28" Type="http://schemas.openxmlformats.org/officeDocument/2006/relationships/hyperlink" Target="http://www.nevo.co.il/case/5695045" TargetMode="External"/><Relationship Id="rId29" Type="http://schemas.openxmlformats.org/officeDocument/2006/relationships/hyperlink" Target="http://www.nevo.co.il/case/5861890" TargetMode="External"/><Relationship Id="rId30" Type="http://schemas.openxmlformats.org/officeDocument/2006/relationships/hyperlink" Target="http://www.nevo.co.il/case/5585697" TargetMode="External"/><Relationship Id="rId31" Type="http://schemas.openxmlformats.org/officeDocument/2006/relationships/hyperlink" Target="http://www.nevo.co.il/case/5701742" TargetMode="External"/><Relationship Id="rId32" Type="http://schemas.openxmlformats.org/officeDocument/2006/relationships/hyperlink" Target="http://www.nevo.co.il/case/6078350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2015-12-17T09:19:00Z</dcterms:created>
  <dc:creator> </dc:creator>
  <dc:description/>
  <cp:keywords/>
  <dc:language>en-IL</dc:language>
  <cp:lastModifiedBy>hofit</cp:lastModifiedBy>
  <dcterms:modified xsi:type="dcterms:W3CDTF">2015-12-17T09:19:00Z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רפאת אבו עמאר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4506071;5704669:3;5969313;6030667:2;5864075:3;3518873;2538651;4277163;5784355;6106416;5784612;748361;492296;463037;415177;5695045;5861890;5585697;5701742;6078350</vt:lpwstr>
  </property>
  <property fmtid="{D5CDD505-2E9C-101B-9397-08002B2CF9AE}" pid="9" name="CITY">
    <vt:lpwstr>ב"ש</vt:lpwstr>
  </property>
  <property fmtid="{D5CDD505-2E9C-101B-9397-08002B2CF9AE}" pid="10" name="DATE">
    <vt:lpwstr>20130318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לוי</vt:lpwstr>
  </property>
  <property fmtid="{D5CDD505-2E9C-101B-9397-08002B2CF9AE}" pid="14" name="LAWLISTTMP1">
    <vt:lpwstr>70301/333;335</vt:lpwstr>
  </property>
  <property fmtid="{D5CDD505-2E9C-101B-9397-08002B2CF9AE}" pid="15" name="LAWYER">
    <vt:lpwstr>רותם יוחנני;שי ברגר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29331</vt:lpwstr>
  </property>
  <property fmtid="{D5CDD505-2E9C-101B-9397-08002B2CF9AE}" pid="22" name="NEWPARTB">
    <vt:lpwstr>10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390020130318</vt:lpwstr>
  </property>
  <property fmtid="{D5CDD505-2E9C-101B-9397-08002B2CF9AE}" pid="34" name="TYPE_N_DATE">
    <vt:lpwstr>39020130318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