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29352-02-20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איילהו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רעות זוסמן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יניב איילהו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קונסטנטין זערור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כתב האישום כולל שני אישומים שעניינם עבירות אלימות של הנאשם כלפי מי שהייתה באותה עת בת זוגו </w:t>
      </w:r>
      <w:bookmarkStart w:id="9" w:name="ABSTRACT_END"/>
      <w:bookmarkEnd w:id="9"/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יוחסו לנאשם 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תקיפה הגורמת חבלה של ממש של בת זוג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1997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ושיבוש מהלכי משפט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24.5.19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22:30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בחדרו של הנאשם בביתו שבתחומי העיר רמלה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התגלע וויכוח בין הנאשם לבין המתלוננת לגבי התנהלות הנאשם ברשתות החברתיות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פייסבוק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אינסטגרם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במהלך הוויכוח נעל הנאשם את דלת החדר ושם את המפתח בכיס מכנסיו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נטלה את המפתח מכיס מכנסיו של הנאשם והתקרבה לדלת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דחף אותה והכה אותה באמצעות ידיו בפלג גופה העליון וסטר פעמיים בפניה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המתלוננת צעקה ואז נטל הנאשם לידיו כבל של מטען טלפון והכה באמצעותו מספר פעמים בגופה של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נטלה המתלוננת אף היא כבל של מטען לטלפון והכתה באמצעותו פעם אחת בידיו של הנאשם במטרה שיחדל ממעשיו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דחף הנאשם את המתלוננת על המיטה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התיישב על בטנה וכרך את הכבל אותו החזיקה המתלוננת סביב ידיה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קם הנאשם ומשך בשערה של המתלוננת כלפי הרצפה עד שהמתלוננת נפלה על הרצפה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הנאשם את דלת החדר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רצתה לקחת את נעליה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בעט ברגלה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סתר בפניה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בשיערה עד שהוריד את המתלוננת לרצפה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 פעמיים בראשה והמשיך להכות אותה עד שאביו של הנאשם הגיע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הזיז אותו הצידה והמתלוננת ברחה מהבית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נגרמו למתלוננת חבלות של ממש בדמות שטפי דם קטנים בידיה וברגלה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02:37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בתחנת המשטרה ברמלה במהלך גביית תלונתה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שלח הנאשם לטלפון הנייד של המתלוננת תמונה של סורגים של חדר המעוכבים בחדר המשטרה שבה שהה כמעוכב וכתב 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את לא מבטלת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תצליחי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השני</w:t>
      </w:r>
      <w:r>
        <w:rPr>
          <w:rFonts w:ascii="David" w:hAnsi="David"/>
          <w:rtl w:val="true"/>
        </w:rPr>
        <w:t xml:space="preserve"> יוחסה לנאשם עבירה של תקיפת סתם של בת זוג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בחודש ינואר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 בבית המתלוננת שבתחומי העיר באר 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שהבחין הנאשם בהודעות בטלפון הנייד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תקף אותה בכך שהכה באגרופים בידיה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המתלוננת הכתה פעם אחת בידו של הנאשם כדי להפסיק את התקיפה כלפיה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כפר בעובדות כתב האישום ולאחר שמיעת הראיות הורשע בעבירות שלהלן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פסקאות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 הדין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 עביר</w:t>
      </w:r>
      <w:r>
        <w:rPr>
          <w:rFonts w:ascii="David" w:hAnsi="David"/>
          <w:rtl w:val="true"/>
        </w:rPr>
        <w:t xml:space="preserve">ה של </w:t>
      </w:r>
      <w:r>
        <w:rPr>
          <w:rFonts w:ascii="David" w:hAnsi="David"/>
          <w:rtl w:val="true"/>
        </w:rPr>
        <w:t xml:space="preserve">תקיפה הגורמת חבלה של ממש של בת זוג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6"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גם בעבירה של </w:t>
      </w:r>
      <w:r>
        <w:rPr>
          <w:rFonts w:ascii="David" w:hAnsi="David"/>
          <w:rtl w:val="true"/>
        </w:rPr>
        <w:t xml:space="preserve">שיבוש מהלכי משפט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תקיפת סתם של בת זוג 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20"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דחיית הבקשה לקבלת תסקיר מטעם שרות המבחן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במועד הטיעונים לעונש הנאשם ביקש שתינתן הוראה לשרות המבחן להכנת תסקיר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דחיתי את הבקשה וקבעתי שנימוקים מפורטים יינתנו במסגרת גזר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נימוקיי לדחיית הבקשה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Style w:val="normal-h"/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>במועד ביצוע העבירות שבהן הורשע הנאשם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 xml:space="preserve">הוא היה בן </w:t>
      </w:r>
      <w:r>
        <w:rPr>
          <w:rStyle w:val="normal-h"/>
          <w:rFonts w:cs="David" w:ascii="David" w:hAnsi="David"/>
        </w:rPr>
        <w:t>28</w:t>
      </w:r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>שנים לערך</w:t>
      </w:r>
      <w:r>
        <w:rPr>
          <w:rStyle w:val="normal-h"/>
          <w:rFonts w:cs="David" w:ascii="David" w:hAnsi="David"/>
          <w:rtl w:val="true"/>
        </w:rPr>
        <w:t xml:space="preserve">. </w:t>
      </w:r>
      <w:r>
        <w:rPr>
          <w:rStyle w:val="normal-h"/>
          <w:rFonts w:ascii="David" w:hAnsi="David"/>
          <w:rtl w:val="true"/>
        </w:rPr>
        <w:t>במילים אחרות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>מדובר בתסקיר רשות לעני</w:t>
      </w:r>
      <w:r>
        <w:rPr>
          <w:rStyle w:val="normal-h"/>
          <w:rFonts w:ascii="David" w:hAnsi="David"/>
          <w:rtl w:val="true"/>
        </w:rPr>
        <w:t>י</w:t>
      </w:r>
      <w:r>
        <w:rPr>
          <w:rStyle w:val="normal-h"/>
          <w:rFonts w:ascii="David" w:hAnsi="David"/>
          <w:rtl w:val="true"/>
        </w:rPr>
        <w:t>ן העונש ולא בתסקיר חובה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>וזאת כפי שהדבר עולה מ</w:t>
      </w:r>
      <w:r>
        <w:rPr>
          <w:rStyle w:val="normal-h"/>
          <w:rFonts w:ascii="David" w:hAnsi="David"/>
          <w:rtl w:val="true"/>
        </w:rPr>
        <w:t xml:space="preserve">לשון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אכרזת דרכי ענישה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תסקיר של קצין מבחן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>תשכ</w:t>
      </w:r>
      <w:r>
        <w:rPr>
          <w:rStyle w:val="normal-h"/>
          <w:rFonts w:cs="David" w:ascii="David" w:hAnsi="David"/>
          <w:rtl w:val="true"/>
        </w:rPr>
        <w:t>"</w:t>
      </w:r>
      <w:r>
        <w:rPr>
          <w:rStyle w:val="normal-h"/>
          <w:rFonts w:ascii="David" w:hAnsi="David"/>
          <w:rtl w:val="true"/>
        </w:rPr>
        <w:t xml:space="preserve">ד – </w:t>
      </w:r>
      <w:r>
        <w:rPr>
          <w:rStyle w:val="normal-h"/>
          <w:rFonts w:cs="David" w:ascii="David" w:hAnsi="David"/>
        </w:rPr>
        <w:t>1964</w:t>
      </w:r>
      <w:r>
        <w:rPr>
          <w:rStyle w:val="normal-h"/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  <w:rFonts w:ascii="David" w:hAnsi="David" w:cs="David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Style w:val="normal-h"/>
          <w:rFonts w:ascii="David" w:hAnsi="David"/>
          <w:rtl w:val="true"/>
        </w:rPr>
        <w:t>ב</w:t>
      </w:r>
      <w:r>
        <w:rPr>
          <w:rStyle w:val="normal-h"/>
          <w:rFonts w:cs="David" w:ascii="David" w:hAnsi="David"/>
          <w:rtl w:val="true"/>
        </w:rPr>
        <w:t xml:space="preserve">.         </w:t>
      </w:r>
      <w:r>
        <w:rPr>
          <w:rStyle w:val="normal-h"/>
          <w:rFonts w:cs="David" w:ascii="David" w:hAnsi="David"/>
          <w:b/>
          <w:bCs/>
          <w:rtl w:val="true"/>
        </w:rPr>
        <w:t xml:space="preserve"> </w:t>
      </w:r>
      <w:r>
        <w:rPr>
          <w:rStyle w:val="normal-h"/>
          <w:rFonts w:ascii="David" w:hAnsi="David"/>
          <w:b/>
          <w:b/>
          <w:bCs/>
          <w:rtl w:val="true"/>
        </w:rPr>
        <w:t>שנית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 xml:space="preserve">בפסיקה קיימות דוגמאות רבות לכך שבעת שהועלו טענות על ידי נאשמים אשר גילם במועד ביצוע העבירה שבה הורשעו היה מעל </w:t>
      </w:r>
      <w:r>
        <w:rPr>
          <w:rStyle w:val="normal-h"/>
          <w:rFonts w:cs="David" w:ascii="David" w:hAnsi="David"/>
        </w:rPr>
        <w:t>21</w:t>
      </w:r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>שנים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>כי נגזר דינם ללא קבלת תסקיר של שרות המבחן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 xml:space="preserve">בית המשפט העליון דחה טענות אלה בהסתמך על העובדה שלא מדובר בתסקיר חובה </w:t>
      </w:r>
      <w:r>
        <w:rPr>
          <w:rStyle w:val="normal-h"/>
          <w:rFonts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10194/09</w:t>
        </w:r>
      </w:hyperlink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b/>
          <w:b/>
          <w:bCs/>
          <w:rtl w:val="true"/>
        </w:rPr>
        <w:t>פוטורוצין נ</w:t>
      </w:r>
      <w:r>
        <w:rPr>
          <w:rStyle w:val="normal-h"/>
          <w:rFonts w:cs="David" w:ascii="David" w:hAnsi="David"/>
          <w:b/>
          <w:bCs/>
          <w:rtl w:val="true"/>
        </w:rPr>
        <w:t xml:space="preserve">' </w:t>
      </w:r>
      <w:r>
        <w:rPr>
          <w:rStyle w:val="normal-h"/>
          <w:rFonts w:ascii="David" w:hAnsi="David"/>
          <w:b/>
          <w:b/>
          <w:bCs/>
          <w:rtl w:val="true"/>
        </w:rPr>
        <w:t>מדינת ישראל</w:t>
      </w:r>
      <w:r>
        <w:rPr>
          <w:rStyle w:val="normal-h"/>
          <w:rFonts w:cs="David" w:ascii="David" w:hAnsi="David"/>
          <w:b/>
          <w:bCs/>
          <w:rtl w:val="true"/>
        </w:rPr>
        <w:t>,</w:t>
      </w:r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>פורסם ב</w:t>
      </w:r>
      <w:r>
        <w:rPr>
          <w:rStyle w:val="normal-h"/>
          <w:rFonts w:cs="David" w:ascii="David" w:hAnsi="David"/>
          <w:rtl w:val="true"/>
        </w:rPr>
        <w:t>-"</w:t>
      </w:r>
      <w:r>
        <w:rPr>
          <w:rStyle w:val="normal-h"/>
          <w:rFonts w:ascii="David" w:hAnsi="David"/>
          <w:rtl w:val="true"/>
        </w:rPr>
        <w:t>נבו</w:t>
      </w:r>
      <w:r>
        <w:rPr>
          <w:rStyle w:val="normal-h"/>
          <w:rFonts w:cs="David" w:ascii="David" w:hAnsi="David"/>
          <w:rtl w:val="true"/>
        </w:rPr>
        <w:t xml:space="preserve">", </w:t>
      </w:r>
      <w:r>
        <w:rPr>
          <w:rStyle w:val="normal-h"/>
          <w:rFonts w:ascii="David" w:hAnsi="David"/>
          <w:rtl w:val="true"/>
        </w:rPr>
        <w:t xml:space="preserve">ניתן ביום </w:t>
      </w:r>
      <w:r>
        <w:rPr>
          <w:rStyle w:val="normal-h"/>
          <w:rFonts w:cs="David" w:ascii="David" w:hAnsi="David"/>
        </w:rPr>
        <w:t>20.7.2010</w:t>
      </w:r>
      <w:r>
        <w:rPr>
          <w:rStyle w:val="normal-h"/>
          <w:rFonts w:cs="David" w:ascii="David" w:hAnsi="David"/>
          <w:rtl w:val="true"/>
        </w:rPr>
        <w:t xml:space="preserve"> 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5753/06</w:t>
        </w:r>
      </w:hyperlink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b/>
          <w:b/>
          <w:bCs/>
          <w:rtl w:val="true"/>
        </w:rPr>
        <w:t>ג</w:t>
      </w:r>
      <w:r>
        <w:rPr>
          <w:rStyle w:val="normal-h"/>
          <w:rFonts w:cs="David" w:ascii="David" w:hAnsi="David"/>
          <w:b/>
          <w:bCs/>
          <w:rtl w:val="true"/>
        </w:rPr>
        <w:t>'</w:t>
      </w:r>
      <w:r>
        <w:rPr>
          <w:rStyle w:val="normal-h"/>
          <w:rFonts w:ascii="David" w:hAnsi="David"/>
          <w:b/>
          <w:b/>
          <w:bCs/>
          <w:rtl w:val="true"/>
        </w:rPr>
        <w:t>רייס נ</w:t>
      </w:r>
      <w:r>
        <w:rPr>
          <w:rStyle w:val="normal-h"/>
          <w:rFonts w:cs="David" w:ascii="David" w:hAnsi="David"/>
          <w:b/>
          <w:bCs/>
          <w:rtl w:val="true"/>
        </w:rPr>
        <w:t xml:space="preserve">' </w:t>
      </w:r>
      <w:r>
        <w:rPr>
          <w:rStyle w:val="normal-h"/>
          <w:rFonts w:ascii="David" w:hAnsi="David"/>
          <w:b/>
          <w:b/>
          <w:bCs/>
          <w:rtl w:val="true"/>
        </w:rPr>
        <w:t>מדינת ישראל</w:t>
      </w:r>
      <w:r>
        <w:rPr>
          <w:rStyle w:val="normal-h"/>
          <w:rFonts w:cs="David" w:ascii="David" w:hAnsi="David"/>
          <w:b/>
          <w:bCs/>
          <w:rtl w:val="true"/>
        </w:rPr>
        <w:t>,</w:t>
      </w:r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>פורסם ב</w:t>
      </w:r>
      <w:r>
        <w:rPr>
          <w:rStyle w:val="normal-h"/>
          <w:rFonts w:cs="David" w:ascii="David" w:hAnsi="David"/>
          <w:rtl w:val="true"/>
        </w:rPr>
        <w:t>- "</w:t>
      </w:r>
      <w:r>
        <w:rPr>
          <w:rStyle w:val="normal-h"/>
          <w:rFonts w:ascii="David" w:hAnsi="David"/>
          <w:rtl w:val="true"/>
        </w:rPr>
        <w:t>נבו</w:t>
      </w:r>
      <w:r>
        <w:rPr>
          <w:rStyle w:val="normal-h"/>
          <w:rFonts w:cs="David" w:ascii="David" w:hAnsi="David"/>
          <w:rtl w:val="true"/>
        </w:rPr>
        <w:t xml:space="preserve">", </w:t>
      </w:r>
      <w:r>
        <w:rPr>
          <w:rStyle w:val="normal-h"/>
          <w:rFonts w:ascii="David" w:hAnsi="David"/>
          <w:rtl w:val="true"/>
        </w:rPr>
        <w:t xml:space="preserve">ניתן ביום </w:t>
      </w:r>
      <w:r>
        <w:rPr>
          <w:rStyle w:val="normal-h"/>
          <w:rFonts w:cs="David" w:ascii="David" w:hAnsi="David"/>
        </w:rPr>
        <w:t>13.7.2006</w:t>
      </w:r>
      <w:r>
        <w:rPr>
          <w:rStyle w:val="normal-h"/>
          <w:rFonts w:cs="David" w:ascii="David" w:hAnsi="David"/>
          <w:rtl w:val="true"/>
        </w:rPr>
        <w:t xml:space="preserve">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3568/10</w:t>
        </w:r>
      </w:hyperlink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b/>
          <w:b/>
          <w:bCs/>
          <w:rtl w:val="true"/>
        </w:rPr>
        <w:t>פאעור נ</w:t>
      </w:r>
      <w:r>
        <w:rPr>
          <w:rStyle w:val="normal-h"/>
          <w:rFonts w:cs="David" w:ascii="David" w:hAnsi="David"/>
          <w:b/>
          <w:bCs/>
          <w:rtl w:val="true"/>
        </w:rPr>
        <w:t xml:space="preserve">' </w:t>
      </w:r>
      <w:r>
        <w:rPr>
          <w:rStyle w:val="normal-h"/>
          <w:rFonts w:ascii="David" w:hAnsi="David"/>
          <w:b/>
          <w:b/>
          <w:bCs/>
          <w:rtl w:val="true"/>
        </w:rPr>
        <w:t>מדינת ישראל</w:t>
      </w:r>
      <w:r>
        <w:rPr>
          <w:rStyle w:val="normal-h"/>
          <w:rFonts w:ascii="David" w:hAnsi="David"/>
          <w:rtl w:val="true"/>
        </w:rPr>
        <w:t xml:space="preserve"> 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>פורסם ב</w:t>
      </w:r>
      <w:r>
        <w:rPr>
          <w:rStyle w:val="normal-h"/>
          <w:rFonts w:cs="David" w:ascii="David" w:hAnsi="David"/>
          <w:rtl w:val="true"/>
        </w:rPr>
        <w:t>- "</w:t>
      </w:r>
      <w:r>
        <w:rPr>
          <w:rStyle w:val="normal-h"/>
          <w:rFonts w:ascii="David" w:hAnsi="David"/>
          <w:rtl w:val="true"/>
        </w:rPr>
        <w:t>נבו</w:t>
      </w:r>
      <w:r>
        <w:rPr>
          <w:rStyle w:val="normal-h"/>
          <w:rFonts w:cs="David" w:ascii="David" w:hAnsi="David"/>
          <w:rtl w:val="true"/>
        </w:rPr>
        <w:t xml:space="preserve">", </w:t>
      </w:r>
      <w:r>
        <w:rPr>
          <w:rStyle w:val="normal-h"/>
          <w:rFonts w:ascii="David" w:hAnsi="David"/>
          <w:rtl w:val="true"/>
        </w:rPr>
        <w:t xml:space="preserve">ניתן ביום </w:t>
      </w:r>
      <w:r>
        <w:rPr>
          <w:rStyle w:val="normal-h"/>
          <w:rFonts w:cs="David" w:ascii="David" w:hAnsi="David"/>
        </w:rPr>
        <w:t>26.10.2010</w:t>
      </w:r>
      <w:r>
        <w:rPr>
          <w:rStyle w:val="normal-h"/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  <w:rFonts w:ascii="David" w:hAnsi="David"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Fonts w:ascii="David" w:hAnsi="David"/>
          <w:rtl w:val="true"/>
        </w:rPr>
        <w:t>ג</w:t>
      </w:r>
      <w:r>
        <w:rPr>
          <w:rStyle w:val="normal-h"/>
          <w:rFonts w:cs="David" w:ascii="David" w:hAnsi="David"/>
          <w:rtl w:val="true"/>
        </w:rPr>
        <w:t xml:space="preserve">.        </w:t>
      </w:r>
      <w:r>
        <w:rPr>
          <w:rStyle w:val="normal-h"/>
          <w:rFonts w:cs="David" w:ascii="David" w:hAnsi="David"/>
          <w:b/>
          <w:bCs/>
          <w:rtl w:val="true"/>
        </w:rPr>
        <w:t xml:space="preserve">  </w:t>
      </w:r>
      <w:r>
        <w:rPr>
          <w:rStyle w:val="normal-h"/>
          <w:rFonts w:ascii="David" w:hAnsi="David"/>
          <w:b/>
          <w:b/>
          <w:bCs/>
          <w:rtl w:val="true"/>
        </w:rPr>
        <w:t>שלישית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 xml:space="preserve">בפסיקה נקבע כי באותם מקרים שבהם אין חובה לקבלת תסקיר לפני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Style w:val="normal-h"/>
          <w:rFonts w:ascii="David" w:hAnsi="David"/>
          <w:rtl w:val="true"/>
        </w:rPr>
        <w:t>גזירת הדין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 xml:space="preserve">כגון מחמת שהעבירה בוצעה בהיות הנאשם מעל </w:t>
      </w:r>
      <w:r>
        <w:rPr>
          <w:rStyle w:val="normal-h"/>
          <w:rFonts w:cs="David" w:ascii="David" w:hAnsi="David"/>
        </w:rPr>
        <w:t>21</w:t>
      </w:r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>שנים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>בית המשפט יכול להסתמך על ראיות אחרות לעניין העונש שהנאשם רשאי להביא ואשר יש בהן כדי להביא בפני בית המשפט את מלוא התמונה לגבי מצבו של הנאשם והרקע שלו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 xml:space="preserve">כגון עדי אופי או כל ראיה אחרת </w:t>
      </w:r>
      <w:r>
        <w:rPr>
          <w:rStyle w:val="normal-h"/>
          <w:rFonts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2583/06</w:t>
        </w:r>
      </w:hyperlink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b/>
          <w:b/>
          <w:bCs/>
          <w:rtl w:val="true"/>
        </w:rPr>
        <w:t>עמר נ</w:t>
      </w:r>
      <w:r>
        <w:rPr>
          <w:rStyle w:val="normal-h"/>
          <w:rFonts w:cs="David" w:ascii="David" w:hAnsi="David"/>
          <w:b/>
          <w:bCs/>
          <w:rtl w:val="true"/>
        </w:rPr>
        <w:t xml:space="preserve">' </w:t>
      </w:r>
      <w:r>
        <w:rPr>
          <w:rStyle w:val="normal-h"/>
          <w:rFonts w:ascii="David" w:hAnsi="David"/>
          <w:b/>
          <w:b/>
          <w:bCs/>
          <w:rtl w:val="true"/>
        </w:rPr>
        <w:t>מדינת ישראל</w:t>
      </w:r>
      <w:r>
        <w:rPr>
          <w:rStyle w:val="normal-h"/>
          <w:rFonts w:cs="David" w:ascii="David" w:hAnsi="David"/>
          <w:b/>
          <w:bCs/>
          <w:rtl w:val="true"/>
        </w:rPr>
        <w:t>,</w:t>
      </w:r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>פורסם ב</w:t>
      </w:r>
      <w:r>
        <w:rPr>
          <w:rStyle w:val="normal-h"/>
          <w:rFonts w:cs="David" w:ascii="David" w:hAnsi="David"/>
          <w:rtl w:val="true"/>
        </w:rPr>
        <w:t>- "</w:t>
      </w:r>
      <w:r>
        <w:rPr>
          <w:rStyle w:val="normal-h"/>
          <w:rFonts w:ascii="David" w:hAnsi="David"/>
          <w:rtl w:val="true"/>
        </w:rPr>
        <w:t>נבו</w:t>
      </w:r>
      <w:r>
        <w:rPr>
          <w:rStyle w:val="normal-h"/>
          <w:rFonts w:cs="David" w:ascii="David" w:hAnsi="David"/>
          <w:rtl w:val="true"/>
        </w:rPr>
        <w:t xml:space="preserve">", </w:t>
      </w:r>
      <w:r>
        <w:rPr>
          <w:rStyle w:val="normal-h"/>
          <w:rFonts w:ascii="David" w:hAnsi="David"/>
          <w:rtl w:val="true"/>
        </w:rPr>
        <w:t xml:space="preserve">ניתן ביום </w:t>
      </w:r>
      <w:r>
        <w:rPr>
          <w:rStyle w:val="normal-h"/>
          <w:rFonts w:cs="David" w:ascii="David" w:hAnsi="David"/>
        </w:rPr>
        <w:t>4.9.2006</w:t>
      </w:r>
      <w:r>
        <w:rPr>
          <w:rStyle w:val="normal-h"/>
          <w:rFonts w:cs="David" w:ascii="David" w:hAnsi="David"/>
          <w:rtl w:val="true"/>
        </w:rPr>
        <w:t xml:space="preserve">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10194/09</w:t>
        </w:r>
      </w:hyperlink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b/>
          <w:b/>
          <w:bCs/>
          <w:rtl w:val="true"/>
        </w:rPr>
        <w:t>פוטורוצין נ</w:t>
      </w:r>
      <w:r>
        <w:rPr>
          <w:rStyle w:val="normal-h"/>
          <w:rFonts w:cs="David" w:ascii="David" w:hAnsi="David"/>
          <w:b/>
          <w:bCs/>
          <w:rtl w:val="true"/>
        </w:rPr>
        <w:t xml:space="preserve">' </w:t>
      </w:r>
      <w:r>
        <w:rPr>
          <w:rStyle w:val="normal-h"/>
          <w:rFonts w:ascii="David" w:hAnsi="David"/>
          <w:b/>
          <w:b/>
          <w:bCs/>
          <w:rtl w:val="true"/>
        </w:rPr>
        <w:t>מדינת ישראל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>פורסם ב</w:t>
      </w:r>
      <w:r>
        <w:rPr>
          <w:rStyle w:val="normal-h"/>
          <w:rFonts w:cs="David" w:ascii="David" w:hAnsi="David"/>
          <w:rtl w:val="true"/>
        </w:rPr>
        <w:t>- "</w:t>
      </w:r>
      <w:r>
        <w:rPr>
          <w:rStyle w:val="normal-h"/>
          <w:rFonts w:ascii="David" w:hAnsi="David"/>
          <w:rtl w:val="true"/>
        </w:rPr>
        <w:t>נבו</w:t>
      </w:r>
      <w:r>
        <w:rPr>
          <w:rStyle w:val="normal-h"/>
          <w:rFonts w:cs="David" w:ascii="David" w:hAnsi="David"/>
          <w:rtl w:val="true"/>
        </w:rPr>
        <w:t xml:space="preserve">", </w:t>
      </w:r>
      <w:r>
        <w:rPr>
          <w:rStyle w:val="normal-h"/>
          <w:rFonts w:ascii="David" w:hAnsi="David"/>
          <w:rtl w:val="true"/>
        </w:rPr>
        <w:t xml:space="preserve">ניתן ביום </w:t>
      </w:r>
      <w:r>
        <w:rPr>
          <w:rStyle w:val="normal-h"/>
          <w:rFonts w:cs="David" w:ascii="David" w:hAnsi="David"/>
        </w:rPr>
        <w:t>20.7.2010</w:t>
      </w:r>
      <w:r>
        <w:rPr>
          <w:rStyle w:val="normal-h"/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Style w:val="normal-h"/>
          <w:rFonts w:ascii="David" w:hAnsi="David" w:cs="David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Style w:val="normal-h"/>
          <w:rFonts w:ascii="David" w:hAnsi="David"/>
          <w:rtl w:val="true"/>
        </w:rPr>
        <w:t>ד</w:t>
      </w:r>
      <w:r>
        <w:rPr>
          <w:rStyle w:val="normal-h"/>
          <w:rFonts w:cs="David" w:ascii="David" w:hAnsi="David"/>
          <w:rtl w:val="true"/>
        </w:rPr>
        <w:t>.</w:t>
        <w:tab/>
      </w:r>
      <w:r>
        <w:rPr>
          <w:rStyle w:val="normal-h"/>
          <w:rFonts w:ascii="David" w:hAnsi="David"/>
          <w:b/>
          <w:b/>
          <w:bCs/>
          <w:rtl w:val="true"/>
        </w:rPr>
        <w:t>רביעית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>שרות המבחן עמוס ביותר בפניות להכנת תסקירים לעונש וזמני ההמתנה לקבלת תסקיר לנאשם שאיננו מצוי בתנאים מגבילים הם ארוכים במיוחד</w:t>
      </w:r>
      <w:r>
        <w:rPr>
          <w:rStyle w:val="normal-h"/>
          <w:rFonts w:cs="David" w:ascii="David" w:hAnsi="David"/>
          <w:rtl w:val="true"/>
        </w:rPr>
        <w:t xml:space="preserve">, </w:t>
      </w:r>
      <w:r>
        <w:rPr>
          <w:rStyle w:val="normal-h"/>
          <w:rFonts w:ascii="David" w:hAnsi="David"/>
          <w:rtl w:val="true"/>
        </w:rPr>
        <w:t xml:space="preserve">בין </w:t>
      </w:r>
      <w:r>
        <w:rPr>
          <w:rStyle w:val="normal-h"/>
          <w:rFonts w:cs="David" w:ascii="David" w:hAnsi="David"/>
        </w:rPr>
        <w:t>6</w:t>
      </w:r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 xml:space="preserve">ועד </w:t>
      </w:r>
      <w:r>
        <w:rPr>
          <w:rStyle w:val="normal-h"/>
          <w:rFonts w:cs="David" w:ascii="David" w:hAnsi="David"/>
        </w:rPr>
        <w:t>12</w:t>
      </w:r>
      <w:r>
        <w:rPr>
          <w:rStyle w:val="normal-h"/>
          <w:rFonts w:cs="David" w:ascii="David" w:hAnsi="David"/>
          <w:rtl w:val="true"/>
        </w:rPr>
        <w:t xml:space="preserve"> </w:t>
      </w:r>
      <w:r>
        <w:rPr>
          <w:rStyle w:val="normal-h"/>
          <w:rFonts w:ascii="David" w:hAnsi="David"/>
          <w:rtl w:val="true"/>
        </w:rPr>
        <w:t>חודשים</w:t>
      </w:r>
      <w:r>
        <w:rPr>
          <w:rStyle w:val="normal-h"/>
          <w:rFonts w:cs="David" w:ascii="David" w:hAnsi="David"/>
          <w:rtl w:val="true"/>
        </w:rPr>
        <w:t xml:space="preserve">. </w:t>
      </w:r>
      <w:r>
        <w:rPr>
          <w:rStyle w:val="normal-h"/>
          <w:rFonts w:ascii="David" w:hAnsi="David"/>
          <w:rtl w:val="true"/>
        </w:rPr>
        <w:t>הנאשם לא הצביע על נימוק מיוחד שיצדיק קבלת תסקיר רשות בעניינו ודחיית מועד מתן גזר הדין לפרק זמן כה ממושך</w:t>
      </w:r>
      <w:r>
        <w:rPr>
          <w:rStyle w:val="normal-h"/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  <w:rFonts w:ascii="David" w:hAnsi="David" w:cs="David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"/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הטיעונים לעונש מטעם הצדדים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  <w:rFonts w:ascii="David" w:hAnsi="David" w:cs="David"/>
          <w:b/>
          <w:bCs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בתמצית שהאירועים שבהם הורשע הנאשם הם בעלי חומרה יתרה ומחייבים השתת מאסר בפועל לתקופה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הציעה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אף העובדה שהוא נעדר עבר פלילי קודם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הדגישה את העובדה שלנאשם אין עבר פלילי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שגם המתלוננת תקפה את הנאשם ואף נחקרה תחת אזהרה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שהנאשם עובד בעסק של נגרות ומסייע למשפחתו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הוריו ואחיו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בפרנסה השוטפת ושליחתו למאסר תפגע בעבודתו ובמשפחתו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בדבריו האחרונים הביע צער על קרות האירועים המתוארים בכתב האישום ושכיום פניו מופנות קדימה ל</w:t>
      </w:r>
      <w:r>
        <w:rPr>
          <w:rFonts w:ascii="David" w:hAnsi="David"/>
          <w:rtl w:val="true"/>
        </w:rPr>
        <w:t>עבר ה</w:t>
      </w:r>
      <w:r>
        <w:rPr>
          <w:rFonts w:ascii="David" w:hAnsi="David"/>
          <w:rtl w:val="true"/>
        </w:rPr>
        <w:t>עתיד ו</w:t>
      </w:r>
      <w:r>
        <w:rPr>
          <w:rFonts w:ascii="David" w:hAnsi="David"/>
          <w:rtl w:val="true"/>
        </w:rPr>
        <w:t>עיקר דאגתו היא תמיכה ב</w:t>
      </w:r>
      <w:r>
        <w:rPr>
          <w:rFonts w:ascii="David" w:hAnsi="David"/>
          <w:rtl w:val="true"/>
        </w:rPr>
        <w:t>הוריו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למדיניות הענישה הנוהגת בעבירות של אלימות במשפחה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לפסיקה שלהלן של בית המשפט העליון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מסיקה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תיק זה נדון בפנַי בבית המשפט השלום ברמלה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המקורי שהוגש נגד הנאשם מנה שמונה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שמיעת הראיות הוא הורשע בארבעה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אפרט את האישומים שבהם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סטר לאשתו ומשך בשערה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שפך עליה כוס יין וסטר 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היכה את אשתו בראשה באמצעות כיסא וגרם לה לחתך שהצריך סגירתו עם סיכה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חבט בה באגרופו וגרם לה לסימן שחור בעין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עליה ודקר אותה באמצעות מספריים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המשפט השלום נקבע שמדובר ב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ושמתחם העונש ההולם 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הושתו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3463/15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קוטוב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21.5.15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בשלושה אישומים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תקיפת בת זוג הגורמת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בת זוג והיזק לרכוש במזיד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שונים תקף המבקש את בת זוגו בכך שסטר בפניה וגרם לה שטף דם בסמוך לעינה הימנית ופצע מדמם בשפתה התחתונה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נוסף הפשיל את מכנסיה של המתלוננת והיכה בישבנה באמצעות חגורה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שמתחם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בפועל </w:t>
      </w:r>
      <w:r>
        <w:rPr>
          <w:rFonts w:ascii="David" w:hAnsi="David"/>
          <w:rtl w:val="true"/>
        </w:rPr>
        <w:t xml:space="preserve">והשית עליו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 על תנאי ופיצוי למתלוננת בסך של </w:t>
      </w:r>
      <w:r>
        <w:rPr>
          <w:rFonts w:cs="David" w:ascii="David" w:hAnsi="David"/>
          <w:b/>
          <w:bCs/>
        </w:rPr>
        <w:t>5,000</w:t>
      </w:r>
      <w:r>
        <w:rPr>
          <w:rFonts w:cs="David" w:ascii="David" w:hAnsi="David"/>
          <w:b/>
          <w:bCs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7513/12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מרעי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22.10.12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בבית משפט השלום בעבירה של תקיפה הגורמת חבלה של ממש לבת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הטיח את אשתו על מיטתם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התיישב עם בטנה ולפת את צווארה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היכה המבקש את המתלוננת באמצעות מקל מטאטא ברגליה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בידיה ובגבה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שמקל המטאטא נשבר מעוצמת המכות והמתלוננת הוטחה ארצה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המבקש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נשך את המתלוננת בגבה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חבט את ראשה בפינת מיטתם ולפת את צווארה בשנית בעודה שרועה על רצפת החדר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הצטרפו למעשי התקיפה כמה מבני משפחתו של המבקש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מהמעשים האמורים נגרמו למתלוננת חבלות של ממש בידיה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ברגליה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בגבה ובראשה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לעובדה שהמתלוננת היתה מעוניינת להמשיך להתגורר עימו ושרות המבחן המליץ שלא להטיל עליו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המדינה הגישה ערעור על קולת העונש לבית המשפט המחוזי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הערעור התקבל והושתו על המבקש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רבאן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1.8.13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המערער הורשע לאחר שמיעת הוכחות על ידי בית המשפט המחוזי בביצוע עבירה של חבלה חמורה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דרש מאשתו כי תפסיק לצעוק על הילדים ואז נטל מקל הליכה מעץ והחל להכות אותה בחוזקה בכל חלקי גופה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נגרמו לאשתו שבר בקרסול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נפיחות ושטף דם בשוק ובכתף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ועד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למערער היה עבר פלילי שכלל שתי הרשעות קודמות בעבירות אלימות ולקולא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סבל מנכות ובני הזוג חזרו להתגורר יחדיו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המחוזי השית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וערעורו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לראות בשני האישומים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לעניין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בשל הזיקה ההדוקה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 האישומים מדובר בדפוס התנהגות דומה שבו הנאשם מנסה להטיל מורא על המתלוננת בדרך של אלימות פיזית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למכלול העבירות והאירועים המתוארים בכתב האישום 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למתלוננת וקנס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 לקחתי בחשבון לקולא את כל הנתונים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השלכות המאסר על הנאשם במישור התעסוקתי בכך שהוא עלול לאבד את מקום עבודתו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השלכות המאסר על הוריו ואחיו של הנאשם </w:t>
      </w:r>
      <w:r>
        <w:rPr>
          <w:rFonts w:ascii="David" w:hAnsi="David"/>
          <w:rtl w:val="true"/>
        </w:rPr>
        <w:t>על רקע העובדה ש</w:t>
      </w:r>
      <w:r>
        <w:rPr>
          <w:rFonts w:ascii="David" w:hAnsi="David"/>
          <w:rtl w:val="true"/>
        </w:rPr>
        <w:t>הוא משתתף בעול הכולל של פרנסת 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והתנאי הוא ש</w:t>
      </w:r>
      <w:r>
        <w:rPr>
          <w:rFonts w:ascii="David" w:hAnsi="David"/>
          <w:rtl w:val="true"/>
        </w:rPr>
        <w:t xml:space="preserve">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ascii="David" w:hAnsi="David"/>
          <w:rtl w:val="true"/>
        </w:rPr>
        <w:t xml:space="preserve"> 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יבצע 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ישלם פיצוי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עדת תביעה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הפיצוי ישולם ב</w:t>
      </w:r>
      <w:r>
        <w:rPr>
          <w:rFonts w:ascii="David" w:hAnsi="David"/>
          <w:rtl w:val="true"/>
        </w:rPr>
        <w:t>חמישה</w:t>
      </w:r>
      <w:r>
        <w:rPr>
          <w:rFonts w:ascii="David" w:hAnsi="David"/>
          <w:rtl w:val="true"/>
        </w:rPr>
        <w:t xml:space="preserve"> תשלומים חודשיים שווים ורצופים כאשר הראשון שבהם עד ליום </w:t>
      </w:r>
      <w:r>
        <w:rPr>
          <w:rFonts w:cs="David" w:ascii="David" w:hAnsi="David"/>
        </w:rPr>
        <w:t>1.6.22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הפיצוי לתשלום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בחמישה תשלומים חודשיים שווים ורצופים כאשר הראשון שבהם עד ליום </w:t>
      </w:r>
      <w:r>
        <w:rPr>
          <w:rFonts w:cs="David" w:ascii="David" w:hAnsi="David"/>
        </w:rPr>
        <w:t>1.7.22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הקנס לתשלום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0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 ניסן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אפריל </w:t>
      </w:r>
      <w:r>
        <w:rPr>
          <w:rFonts w:cs="David" w:ascii="David" w:hAnsi="David"/>
          <w:b/>
          <w:bCs/>
        </w:rPr>
        <w:t>2022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29352-02-20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יניב איילהו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normal-h">
    <w:name w:val="normal-h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4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382.b" TargetMode="External"/><Relationship Id="rId7" Type="http://schemas.openxmlformats.org/officeDocument/2006/relationships/hyperlink" Target="http://www.nevo.co.il/law/70301/382.c" TargetMode="External"/><Relationship Id="rId8" Type="http://schemas.openxmlformats.org/officeDocument/2006/relationships/hyperlink" Target="http://www.nevo.co.il/law/71557" TargetMode="External"/><Relationship Id="rId9" Type="http://schemas.openxmlformats.org/officeDocument/2006/relationships/hyperlink" Target="http://www.nevo.co.il/law/71557/1.1" TargetMode="External"/><Relationship Id="rId10" Type="http://schemas.openxmlformats.org/officeDocument/2006/relationships/hyperlink" Target="http://www.nevo.co.il/law/70301/382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382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80" TargetMode="External"/><Relationship Id="rId16" Type="http://schemas.openxmlformats.org/officeDocument/2006/relationships/hyperlink" Target="http://www.nevo.co.il/law/70301/382.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law/70301/379" TargetMode="External"/><Relationship Id="rId20" Type="http://schemas.openxmlformats.org/officeDocument/2006/relationships/hyperlink" Target="http://www.nevo.co.il/law/70301/382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1557/1.1" TargetMode="External"/><Relationship Id="rId23" Type="http://schemas.openxmlformats.org/officeDocument/2006/relationships/hyperlink" Target="http://www.nevo.co.il/law/71557" TargetMode="External"/><Relationship Id="rId24" Type="http://schemas.openxmlformats.org/officeDocument/2006/relationships/hyperlink" Target="http://www.nevo.co.il/case/5847071" TargetMode="External"/><Relationship Id="rId25" Type="http://schemas.openxmlformats.org/officeDocument/2006/relationships/hyperlink" Target="http://www.nevo.co.il/case/5860054" TargetMode="External"/><Relationship Id="rId26" Type="http://schemas.openxmlformats.org/officeDocument/2006/relationships/hyperlink" Target="http://www.nevo.co.il/case/5903477" TargetMode="External"/><Relationship Id="rId27" Type="http://schemas.openxmlformats.org/officeDocument/2006/relationships/hyperlink" Target="http://www.nevo.co.il/case/5775168" TargetMode="External"/><Relationship Id="rId28" Type="http://schemas.openxmlformats.org/officeDocument/2006/relationships/hyperlink" Target="http://www.nevo.co.il/case/5847071" TargetMode="External"/><Relationship Id="rId29" Type="http://schemas.openxmlformats.org/officeDocument/2006/relationships/hyperlink" Target="http://www.nevo.co.il/case/22079581" TargetMode="External"/><Relationship Id="rId30" Type="http://schemas.openxmlformats.org/officeDocument/2006/relationships/hyperlink" Target="http://www.nevo.co.il/case/20298761" TargetMode="External"/><Relationship Id="rId31" Type="http://schemas.openxmlformats.org/officeDocument/2006/relationships/hyperlink" Target="http://www.nevo.co.il/case/5601530" TargetMode="External"/><Relationship Id="rId32" Type="http://schemas.openxmlformats.org/officeDocument/2006/relationships/hyperlink" Target="http://www.nevo.co.il/case/7680032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2023-03-20T12:37:00Z</dcterms:created>
  <dc:creator> </dc:creator>
  <dc:description/>
  <cp:keywords/>
  <dc:language>en-IL</dc:language>
  <cp:lastModifiedBy>h1</cp:lastModifiedBy>
  <dcterms:modified xsi:type="dcterms:W3CDTF">2023-03-20T12:37:00Z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יניב איילהו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5847071:2;5860054;5903477;5775168;22079581;20298761;5601530;7680032</vt:lpwstr>
  </property>
  <property fmtid="{D5CDD505-2E9C-101B-9397-08002B2CF9AE}" pid="9" name="CITY">
    <vt:lpwstr>רמ'</vt:lpwstr>
  </property>
  <property fmtid="{D5CDD505-2E9C-101B-9397-08002B2CF9AE}" pid="10" name="DATE">
    <vt:lpwstr>20220412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70301/382.c:2;244:2;382.b:2;380;379</vt:lpwstr>
  </property>
  <property fmtid="{D5CDD505-2E9C-101B-9397-08002B2CF9AE}" pid="15" name="LAWLISTTMP2">
    <vt:lpwstr>71557/001.1</vt:lpwstr>
  </property>
  <property fmtid="{D5CDD505-2E9C-101B-9397-08002B2CF9AE}" pid="16" name="LAWYER">
    <vt:lpwstr>רעות זוסמן;קונסטנטין זערור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29352</vt:lpwstr>
  </property>
  <property fmtid="{D5CDD505-2E9C-101B-9397-08002B2CF9AE}" pid="23" name="NEWPARTB">
    <vt:lpwstr>02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380020220412</vt:lpwstr>
  </property>
  <property fmtid="{D5CDD505-2E9C-101B-9397-08002B2CF9AE}" pid="35" name="TYPE_N_DATE">
    <vt:lpwstr>38020220412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