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29611-09-15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 – 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רשות המיסים ירושלים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גרמה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רייכברד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מנשה אסי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תמים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שהאב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סולומון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מס הכנסה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 -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לא מרובד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216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222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LawTable_End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כתב האישום שבפני כולל חלק כללי ושישה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הכללי נאמר כי בתקופות הרלוונטיות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עסק כצלם בגני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מחזורי העסקאות של הנאשם היו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108,124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135,272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124,541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105,006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108,984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80,687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בכל אחד מהאישומים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בביצוע עבירה של אי הגשת דוח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6">
        <w:r>
          <w:rPr>
            <w:rStyle w:val="Hyperlink"/>
            <w:rFonts w:cs="Arial" w:ascii="Arial" w:hAnsi="Arial"/>
          </w:rPr>
          <w:t>222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פקודת מס הכנסה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כל אחד מהאישומים מתייחס לשנת מס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שהאישום הראשון מתייחס לשנת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השני לשנת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השלישי לשנת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הרביעי לשנת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החמישי לשנת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השישי לשנת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הסכמה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לקנס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מנהלי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והעדר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יכולת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כלכלית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לתשלומו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 xml:space="preserve">,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29,200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מדיכאונות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tl w:val="true"/>
        </w:rPr>
        <w:t xml:space="preserve">;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אימוץ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שהוצע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ידי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שלום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רמלה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18114-03-14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30.10.16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8,500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29,200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;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תידחה</w:t>
      </w:r>
      <w:r>
        <w:rPr>
          <w:rtl w:val="true"/>
        </w:rPr>
        <w:t xml:space="preserve">.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ראשית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הפרמטר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וחומרתן</w:t>
      </w:r>
      <w:r>
        <w:rPr>
          <w:rtl w:val="true"/>
        </w:rPr>
        <w:t xml:space="preserve">: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4606/01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3.1.02</w:t>
      </w:r>
      <w:r>
        <w:rPr>
          <w:rtl w:val="true"/>
        </w:rPr>
        <w:t xml:space="preserve">); </w:t>
      </w:r>
      <w:hyperlink r:id="rId1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מיכאלי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9.5.11</w:t>
      </w:r>
      <w:r>
        <w:rPr>
          <w:rtl w:val="true"/>
        </w:rPr>
        <w:t xml:space="preserve">); </w:t>
      </w:r>
      <w:hyperlink r:id="rId1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6271/13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17.9.13</w:t>
      </w:r>
      <w:r>
        <w:rPr>
          <w:rtl w:val="true"/>
        </w:rPr>
        <w:t xml:space="preserve">); </w:t>
      </w:r>
      <w:hyperlink r:id="rId1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7917/04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בסרגליק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14.11.04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: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tl w:val="true"/>
        </w:rPr>
        <w:t xml:space="preserve">,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: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1546/05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שמחוני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22.3.05</w:t>
      </w:r>
      <w:r>
        <w:rPr>
          <w:rtl w:val="true"/>
        </w:rPr>
        <w:t xml:space="preserve">); </w:t>
      </w:r>
      <w:hyperlink r:id="rId1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11640/05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14.5.06</w:t>
      </w:r>
      <w:r>
        <w:rPr>
          <w:rtl w:val="true"/>
        </w:rPr>
        <w:t xml:space="preserve">); </w:t>
      </w:r>
      <w:hyperlink r:id="rId1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7851/13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25.10.15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u w:val="single"/>
          <w:rtl w:val="true"/>
        </w:rPr>
        <w:t>שנית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הפרמטר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הקונקרטי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מעצם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tl w:val="true"/>
        </w:rPr>
        <w:t xml:space="preserve">: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1.9.17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  <w:r>
        <w:rPr>
          <w:color w:val="FFFFFF"/>
          <w:sz w:val="2"/>
          <w:szCs w:val="2"/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29611-09-15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רשות המיסים ירושלים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מנשה אסי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6.4" TargetMode="External"/><Relationship Id="rId4" Type="http://schemas.openxmlformats.org/officeDocument/2006/relationships/hyperlink" Target="http://www.nevo.co.il/law/84255/222.a" TargetMode="External"/><Relationship Id="rId5" Type="http://schemas.openxmlformats.org/officeDocument/2006/relationships/hyperlink" Target="http://www.nevo.co.il/law/84255/216.4" TargetMode="External"/><Relationship Id="rId6" Type="http://schemas.openxmlformats.org/officeDocument/2006/relationships/hyperlink" Target="http://www.nevo.co.il/law/84255/222.a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216.4" TargetMode="External"/><Relationship Id="rId9" Type="http://schemas.openxmlformats.org/officeDocument/2006/relationships/hyperlink" Target="http://www.nevo.co.il/law/84255" TargetMode="External"/><Relationship Id="rId10" Type="http://schemas.openxmlformats.org/officeDocument/2006/relationships/hyperlink" Target="http://www.nevo.co.il/case/13042631" TargetMode="External"/><Relationship Id="rId11" Type="http://schemas.openxmlformats.org/officeDocument/2006/relationships/hyperlink" Target="http://www.nevo.co.il/law/84255/216.4" TargetMode="External"/><Relationship Id="rId12" Type="http://schemas.openxmlformats.org/officeDocument/2006/relationships/hyperlink" Target="http://www.nevo.co.il/law/84255" TargetMode="External"/><Relationship Id="rId13" Type="http://schemas.openxmlformats.org/officeDocument/2006/relationships/hyperlink" Target="http://www.nevo.co.il/case/5962249" TargetMode="External"/><Relationship Id="rId14" Type="http://schemas.openxmlformats.org/officeDocument/2006/relationships/hyperlink" Target="http://www.nevo.co.il/case/5722235" TargetMode="External"/><Relationship Id="rId15" Type="http://schemas.openxmlformats.org/officeDocument/2006/relationships/hyperlink" Target="http://www.nevo.co.il/case/8244915" TargetMode="External"/><Relationship Id="rId16" Type="http://schemas.openxmlformats.org/officeDocument/2006/relationships/hyperlink" Target="http://www.nevo.co.il/case/6116277" TargetMode="External"/><Relationship Id="rId17" Type="http://schemas.openxmlformats.org/officeDocument/2006/relationships/hyperlink" Target="http://www.nevo.co.il/case/5775612" TargetMode="External"/><Relationship Id="rId18" Type="http://schemas.openxmlformats.org/officeDocument/2006/relationships/hyperlink" Target="http://www.nevo.co.il/case/6181500" TargetMode="External"/><Relationship Id="rId19" Type="http://schemas.openxmlformats.org/officeDocument/2006/relationships/hyperlink" Target="http://www.nevo.co.il/case/10486210" TargetMode="External"/><Relationship Id="rId20" Type="http://schemas.openxmlformats.org/officeDocument/2006/relationships/hyperlink" Target="http://www.nevo.co.il/law/84255/216.4" TargetMode="External"/><Relationship Id="rId21" Type="http://schemas.openxmlformats.org/officeDocument/2006/relationships/hyperlink" Target="http://www.nevo.co.il/law/84255" TargetMode="External"/><Relationship Id="rId22" Type="http://schemas.openxmlformats.org/officeDocument/2006/relationships/hyperlink" Target="http://www.nevo.co.il/law/84255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2018-07-29T14:44:00Z</dcterms:created>
  <dc:creator> </dc:creator>
  <dc:description/>
  <cp:keywords/>
  <dc:language>en-IL</dc:language>
  <cp:lastModifiedBy>run</cp:lastModifiedBy>
  <dcterms:modified xsi:type="dcterms:W3CDTF">2018-07-29T14:44:00Z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רשות המיסים ירושלים- פלילי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מנשה אסי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13042631;5962249;5722235;8244915;6116277;5775612;6181500;10486210</vt:lpwstr>
  </property>
  <property fmtid="{D5CDD505-2E9C-101B-9397-08002B2CF9AE}" pid="9" name="CITY">
    <vt:lpwstr>רמ'</vt:lpwstr>
  </property>
  <property fmtid="{D5CDD505-2E9C-101B-9397-08002B2CF9AE}" pid="10" name="DATE">
    <vt:lpwstr>20170629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84255/216.4:4;222.a</vt:lpwstr>
  </property>
  <property fmtid="{D5CDD505-2E9C-101B-9397-08002B2CF9AE}" pid="15" name="LAWYER">
    <vt:lpwstr>שמרית גרמה רייכברד;תמים שהאב ממשרד תמיר סולומון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29611</vt:lpwstr>
  </property>
  <property fmtid="{D5CDD505-2E9C-101B-9397-08002B2CF9AE}" pid="22" name="NEWPARTB">
    <vt:lpwstr>09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380020170629</vt:lpwstr>
  </property>
  <property fmtid="{D5CDD505-2E9C-101B-9397-08002B2CF9AE}" pid="34" name="TYPE_N_DATE">
    <vt:lpwstr>38020170629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