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29651-10-10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אלאסד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Style w:val="TimesNewRomanTimesNewRoman"/>
                <w:rtl w:val="true"/>
              </w:rPr>
              <w:t>שופטת צילה צפת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אוגוסט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/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נוראדין אלאסד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שהאבלדי אלאסד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נוכחים</w:t>
      </w:r>
      <w:r>
        <w:rPr>
          <w:b w:val="false"/>
          <w:bCs w:val="false"/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ענבל חיים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 לוין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אדיר בן לולו ממשרדו של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נסאר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</w:rPr>
      </w:pPr>
      <w:hyperlink r:id="rId2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חוק העונשין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ז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b/>
            <w:bCs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'  </w:t>
      </w:r>
      <w:hyperlink r:id="rId3">
        <w:r>
          <w:rPr>
            <w:rStyle w:val="Hyperlink"/>
            <w:rFonts w:eastAsia="David" w:cs="FrankRuehl" w:ascii="FrankRuehl" w:hAnsi="FrankRuehl"/>
            <w:b/>
            <w:bCs/>
          </w:rPr>
          <w:t>144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ב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4">
        <w:r>
          <w:rPr>
            <w:rStyle w:val="Hyperlink"/>
            <w:rFonts w:eastAsia="David" w:cs="FrankRuehl" w:ascii="FrankRuehl" w:hAnsi="FrankRuehl"/>
            <w:b/>
            <w:bCs/>
          </w:rPr>
          <w:t>192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5">
        <w:r>
          <w:rPr>
            <w:rStyle w:val="Hyperlink"/>
            <w:rFonts w:eastAsia="David" w:cs="FrankRuehl" w:ascii="FrankRuehl" w:hAnsi="FrankRuehl"/>
            <w:b/>
            <w:bCs/>
          </w:rPr>
          <w:t>340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א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6">
        <w:r>
          <w:rPr>
            <w:rStyle w:val="Hyperlink"/>
            <w:rFonts w:eastAsia="David" w:cs="FrankRuehl" w:ascii="FrankRuehl" w:hAnsi="FrankRuehl"/>
            <w:b/>
            <w:bCs/>
          </w:rPr>
          <w:t>379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7">
        <w:r>
          <w:rPr>
            <w:rStyle w:val="Hyperlink"/>
            <w:rFonts w:eastAsia="David" w:cs="FrankRuehl" w:ascii="FrankRuehl" w:hAnsi="FrankRuehl"/>
            <w:b/>
            <w:bCs/>
          </w:rPr>
          <w:t>382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.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א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ind w:end="0"/>
        <w:jc w:val="center"/>
        <w:rPr>
          <w:rFonts w:ascii="Arial" w:hAnsi="Arial" w:eastAsia="David" w:cs="Arial"/>
          <w:sz w:val="28"/>
          <w:szCs w:val="28"/>
        </w:rPr>
      </w:pPr>
      <w:bookmarkStart w:id="6" w:name="PsakDin"/>
      <w:bookmarkEnd w:id="6"/>
      <w:r>
        <w:rPr>
          <w:rFonts w:ascii="Arial" w:hAnsi="Arial" w:eastAsia="David" w:cs="Arial"/>
          <w:sz w:val="28"/>
          <w:sz w:val="28"/>
          <w:szCs w:val="28"/>
          <w:rtl w:val="true"/>
        </w:rPr>
        <w:t>גזר דין</w:t>
      </w:r>
    </w:p>
    <w:p>
      <w:pPr>
        <w:pStyle w:val="12"/>
        <w:ind w:end="0"/>
        <w:jc w:val="both"/>
        <w:rPr>
          <w:rFonts w:ascii="David" w:hAnsi="David" w:eastAsia="David" w:cs="David"/>
          <w:b w:val="false"/>
          <w:bCs w:val="false"/>
          <w:sz w:val="28"/>
          <w:szCs w:val="28"/>
          <w:u w:val="none"/>
        </w:rPr>
      </w:pPr>
      <w:r>
        <w:rPr>
          <w:rFonts w:eastAsia="David" w:cs="David" w:ascii="David" w:hAnsi="David"/>
          <w:b w:val="false"/>
          <w:bCs w:val="false"/>
          <w:sz w:val="28"/>
          <w:szCs w:val="28"/>
          <w:u w:val="none"/>
          <w:rtl w:val="true"/>
        </w:rPr>
      </w:r>
      <w:bookmarkStart w:id="7" w:name="PsakDin"/>
      <w:bookmarkStart w:id="8" w:name="PsakDin"/>
      <w:bookmarkEnd w:id="8"/>
    </w:p>
    <w:p>
      <w:pPr>
        <w:pStyle w:val="12"/>
        <w:ind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bookmarkStart w:id="9" w:name="ABSTRACT_START"/>
      <w:bookmarkEnd w:id="9"/>
      <w:r>
        <w:rPr>
          <w:rtl w:val="true"/>
        </w:rPr>
        <w:t>הנאשמים הורשעו</w:t>
      </w:r>
      <w:r>
        <w:rPr>
          <w:rtl w:val="true"/>
        </w:rPr>
        <w:t xml:space="preserve">, </w:t>
      </w:r>
      <w:r>
        <w:rPr>
          <w:rtl w:val="true"/>
        </w:rPr>
        <w:t>על יסוד הודאתם בכתב האישום המתוקן 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בעבירות של 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8">
        <w:r>
          <w:rPr>
            <w:rStyle w:val="Hyperlink"/>
            <w:rtl w:val="true"/>
          </w:rPr>
          <w:t>ס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</w:t>
      </w:r>
      <w:hyperlink r:id="rId9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");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0">
        <w:r>
          <w:rPr>
            <w:rStyle w:val="Hyperlink"/>
            <w:rtl w:val="true"/>
          </w:rPr>
          <w:t>ס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בד בבד</w:t>
      </w:r>
      <w:r>
        <w:rPr>
          <w:rtl w:val="true"/>
        </w:rPr>
        <w:t xml:space="preserve">, </w:t>
      </w:r>
      <w:r>
        <w:rPr>
          <w:rtl w:val="true"/>
        </w:rPr>
        <w:t xml:space="preserve">הורשע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בעבירות של תקיפה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1">
        <w:r>
          <w:rPr>
            <w:rStyle w:val="Hyperlink"/>
            <w:rtl w:val="true"/>
          </w:rPr>
          <w:t>ס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379</w:t>
        </w:r>
        <w:r>
          <w:rPr>
            <w:rStyle w:val="Hyperlink"/>
            <w:rtl w:val="true"/>
          </w:rPr>
          <w:t xml:space="preserve">+ </w:t>
        </w:r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וירי באזור מגורים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2">
        <w:r>
          <w:rPr>
            <w:rStyle w:val="Hyperlink"/>
            <w:rtl w:val="true"/>
          </w:rPr>
          <w:t>ס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</w:t>
      </w:r>
      <w:bookmarkStart w:id="10" w:name="ABSTRACT_END"/>
      <w:bookmarkEnd w:id="10"/>
      <w:r>
        <w:rPr>
          <w:rtl w:val="true"/>
        </w:rPr>
        <w:t xml:space="preserve">. </w:t>
      </w:r>
    </w:p>
    <w:p>
      <w:pPr>
        <w:pStyle w:val="Normal"/>
        <w:spacing w:lineRule="auto" w:line="360"/>
        <w:ind w:end="72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שני אחים</w:t>
      </w:r>
      <w:r>
        <w:rPr>
          <w:rtl w:val="true"/>
        </w:rPr>
        <w:t xml:space="preserve">, </w:t>
      </w:r>
      <w:r>
        <w:rPr>
          <w:rtl w:val="true"/>
        </w:rPr>
        <w:t xml:space="preserve">הורשעו בכך שביום </w:t>
      </w:r>
      <w:r>
        <w:rPr/>
        <w:t>23.9.10</w:t>
      </w:r>
      <w:r>
        <w:rPr>
          <w:rtl w:val="true"/>
        </w:rPr>
        <w:t xml:space="preserve">, </w:t>
      </w:r>
      <w:r>
        <w:rPr>
          <w:rtl w:val="true"/>
        </w:rPr>
        <w:t>בחצות הליל או בסמוך לכך</w:t>
      </w:r>
      <w:r>
        <w:rPr>
          <w:rtl w:val="true"/>
        </w:rPr>
        <w:t xml:space="preserve">, </w:t>
      </w:r>
      <w:r>
        <w:rPr>
          <w:rtl w:val="true"/>
        </w:rPr>
        <w:t>עצרו ביחד עם אחר את רכבם של פריד אבו עמאר ובן דודו אדם אבו עמאר</w:t>
      </w:r>
      <w:r>
        <w:rPr>
          <w:rtl w:val="true"/>
        </w:rPr>
        <w:t xml:space="preserve">, </w:t>
      </w:r>
      <w:r>
        <w:rPr>
          <w:rtl w:val="true"/>
        </w:rPr>
        <w:t xml:space="preserve">סמוך לבית ספר תיכון </w:t>
      </w:r>
      <w:r>
        <w:rPr>
          <w:rtl w:val="true"/>
        </w:rPr>
        <w:t>"</w:t>
      </w:r>
      <w:r>
        <w:rPr>
          <w:rtl w:val="true"/>
        </w:rPr>
        <w:t>עמל</w:t>
      </w:r>
      <w:r>
        <w:rPr>
          <w:rtl w:val="true"/>
        </w:rPr>
        <w:t xml:space="preserve">" </w:t>
      </w:r>
      <w:r>
        <w:rPr>
          <w:rtl w:val="true"/>
        </w:rPr>
        <w:t xml:space="preserve">שם שימש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כשומר</w:t>
      </w:r>
      <w:r>
        <w:rPr>
          <w:rtl w:val="true"/>
        </w:rPr>
        <w:t xml:space="preserve">. </w:t>
      </w:r>
      <w:r>
        <w:rPr>
          <w:rtl w:val="true"/>
        </w:rPr>
        <w:t>הנאשם והאחר דרשו לדעת מדוע פריד ואדם חלפו במקום</w:t>
      </w:r>
      <w:r>
        <w:rPr>
          <w:rtl w:val="true"/>
        </w:rPr>
        <w:t xml:space="preserve">, </w:t>
      </w:r>
      <w:r>
        <w:rPr>
          <w:rtl w:val="true"/>
        </w:rPr>
        <w:t>האחר ביצע חיפוש ברכב ודומם את המנוע</w:t>
      </w:r>
      <w:r>
        <w:rPr>
          <w:rtl w:val="true"/>
        </w:rPr>
        <w:t xml:space="preserve">, </w:t>
      </w:r>
      <w:r>
        <w:rPr>
          <w:rtl w:val="true"/>
        </w:rPr>
        <w:t>פריד ניסה להתנגד</w:t>
      </w:r>
      <w:r>
        <w:rPr>
          <w:rtl w:val="true"/>
        </w:rPr>
        <w:t xml:space="preserve">, </w:t>
      </w:r>
      <w:r>
        <w:rPr>
          <w:rtl w:val="true"/>
        </w:rPr>
        <w:t>האחר בעט בחזהו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אחז בסכין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שלף אקדח</w:t>
      </w:r>
      <w:r>
        <w:rPr>
          <w:rtl w:val="true"/>
        </w:rPr>
        <w:t xml:space="preserve">, </w:t>
      </w:r>
      <w:r>
        <w:rPr>
          <w:rtl w:val="true"/>
        </w:rPr>
        <w:t xml:space="preserve">העבירו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אשר ירה ירייה אחת על הקרקע סמוך לרגלו של פריד וירייה אחת באוויר</w:t>
      </w:r>
      <w:r>
        <w:rPr>
          <w:rtl w:val="true"/>
        </w:rPr>
        <w:t xml:space="preserve">, </w:t>
      </w:r>
      <w:r>
        <w:rPr>
          <w:rtl w:val="true"/>
        </w:rPr>
        <w:t>השלושה הושיבו את אדם ופריד על הקרקע ורק לאחר התערבותו של האחר הניחו להם ללכת לדרכם אך לא לפני שאיימו עליהם לבל יעברו במקום</w:t>
      </w:r>
      <w:r>
        <w:rPr>
          <w:rtl w:val="true"/>
        </w:rPr>
        <w:t xml:space="preserve">. </w:t>
      </w:r>
      <w:r>
        <w:rPr>
          <w:rtl w:val="true"/>
        </w:rPr>
        <w:t>עוד באותו הליל</w:t>
      </w:r>
      <w:r>
        <w:rPr>
          <w:rtl w:val="true"/>
        </w:rPr>
        <w:t xml:space="preserve">, </w:t>
      </w:r>
      <w:r>
        <w:rPr>
          <w:rtl w:val="true"/>
        </w:rPr>
        <w:t>בערה באחיו של פריד</w:t>
      </w:r>
      <w:r>
        <w:rPr>
          <w:rtl w:val="true"/>
        </w:rPr>
        <w:t xml:space="preserve">, </w:t>
      </w:r>
      <w:r>
        <w:rPr>
          <w:rtl w:val="true"/>
        </w:rPr>
        <w:t>רפאת אבו עמאר</w:t>
      </w:r>
      <w:r>
        <w:rPr>
          <w:rtl w:val="true"/>
        </w:rPr>
        <w:t xml:space="preserve">, </w:t>
      </w:r>
      <w:r>
        <w:rPr>
          <w:rtl w:val="true"/>
        </w:rPr>
        <w:t xml:space="preserve">חמתו על מעשיו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באחיו ובן דודו והוא יצא לחפשו ללא הצלחה</w:t>
      </w:r>
      <w:r>
        <w:rPr>
          <w:rtl w:val="true"/>
        </w:rPr>
        <w:t xml:space="preserve">. </w:t>
      </w:r>
      <w:r>
        <w:rPr>
          <w:rtl w:val="true"/>
        </w:rPr>
        <w:t>למחרת היום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23:00</w:t>
      </w:r>
      <w:r>
        <w:rPr>
          <w:rtl w:val="true"/>
        </w:rPr>
        <w:t xml:space="preserve">, </w:t>
      </w:r>
      <w:r>
        <w:rPr>
          <w:rtl w:val="true"/>
        </w:rPr>
        <w:t xml:space="preserve">יצא רפאת ברכבו ביחד עם פריד ורביע אבו עמאר לחפש אחר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סמוך למקום עבודתו</w:t>
      </w:r>
      <w:r>
        <w:rPr>
          <w:rtl w:val="true"/>
        </w:rPr>
        <w:t xml:space="preserve">. </w:t>
      </w:r>
      <w:r>
        <w:rPr>
          <w:rtl w:val="true"/>
        </w:rPr>
        <w:t>בהגיעם למקום</w:t>
      </w:r>
      <w:r>
        <w:rPr>
          <w:rtl w:val="true"/>
        </w:rPr>
        <w:t xml:space="preserve">, </w:t>
      </w:r>
      <w:r>
        <w:rPr>
          <w:rtl w:val="true"/>
        </w:rPr>
        <w:t xml:space="preserve">הבחינו בנאשם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יושב ביחד עם עומר אבו חטאב בתוך רכב החונה סמוך לבית הספר </w:t>
      </w:r>
      <w:r>
        <w:rPr>
          <w:rtl w:val="true"/>
        </w:rPr>
        <w:t>"</w:t>
      </w:r>
      <w:r>
        <w:rPr>
          <w:rtl w:val="true"/>
        </w:rPr>
        <w:t>עמל</w:t>
      </w:r>
      <w:r>
        <w:rPr>
          <w:rtl w:val="true"/>
        </w:rPr>
        <w:t xml:space="preserve">", </w:t>
      </w:r>
      <w:r>
        <w:rPr>
          <w:rtl w:val="true"/>
        </w:rPr>
        <w:t xml:space="preserve">השלושה העמידו את רכבם במקביל לרכב בו ישב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רפאת יצא מרכבו והתקרב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בעודו אוחז באקדח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ירה לעברו ירייה אחת</w:t>
      </w:r>
      <w:r>
        <w:rPr>
          <w:rtl w:val="true"/>
        </w:rPr>
        <w:t xml:space="preserve">, </w:t>
      </w:r>
      <w:r>
        <w:rPr>
          <w:rtl w:val="true"/>
        </w:rPr>
        <w:t xml:space="preserve">רפאת ירה לעבר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לפחות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 xml:space="preserve">מתוכם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יריות חדרו לתוך הרכב ואחת פגעה במכסה המנוע</w:t>
      </w:r>
      <w:r>
        <w:rPr>
          <w:rtl w:val="true"/>
        </w:rPr>
        <w:t xml:space="preserve">, </w:t>
      </w:r>
      <w:r>
        <w:rPr>
          <w:rtl w:val="true"/>
        </w:rPr>
        <w:t xml:space="preserve">כתוצאה מהירי נפגע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בראשו ובידו ועומר נפגע באזור האגן</w:t>
      </w:r>
      <w:r>
        <w:rPr>
          <w:rtl w:val="true"/>
        </w:rPr>
        <w:t xml:space="preserve">, </w:t>
      </w:r>
      <w:r>
        <w:rPr>
          <w:rtl w:val="true"/>
        </w:rPr>
        <w:t xml:space="preserve">או אז נמלטו השלושה באמצעות רכבם מהמקום כשהם מותירים את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ועומר להתבוסס בדמם וללא שהזעיקו עזרה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 xml:space="preserve">בעניינו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הוגש תסקיר מטעם שרות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ממנו עולה כי הנאשם בן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טרם מעצרו התגורר בבית הוריו בפזורה הבדואית הסמוכה ליישוב לקייה</w:t>
      </w:r>
      <w:r>
        <w:rPr>
          <w:rtl w:val="true"/>
        </w:rPr>
        <w:t xml:space="preserve">. </w:t>
      </w:r>
      <w:r>
        <w:rPr>
          <w:rtl w:val="true"/>
        </w:rPr>
        <w:t>הנאשם בעל תעודת בגרות מלאה</w:t>
      </w:r>
      <w:r>
        <w:rPr>
          <w:rtl w:val="true"/>
        </w:rPr>
        <w:t xml:space="preserve">, </w:t>
      </w:r>
      <w:r>
        <w:rPr>
          <w:rtl w:val="true"/>
        </w:rPr>
        <w:t>ריצה עונש מאסר לאחר תום לימודיו בגין עבירת אלימות</w:t>
      </w:r>
      <w:r>
        <w:rPr>
          <w:rtl w:val="true"/>
        </w:rPr>
        <w:t xml:space="preserve">, </w:t>
      </w:r>
      <w:r>
        <w:rPr>
          <w:rtl w:val="true"/>
        </w:rPr>
        <w:t xml:space="preserve">לאחר שחרורו החל לעבוד כמאבטח בבית ספר </w:t>
      </w:r>
      <w:r>
        <w:rPr>
          <w:rtl w:val="true"/>
        </w:rPr>
        <w:t>"</w:t>
      </w:r>
      <w:r>
        <w:rPr>
          <w:rtl w:val="true"/>
        </w:rPr>
        <w:t>עמל</w:t>
      </w:r>
      <w:r>
        <w:rPr>
          <w:rtl w:val="true"/>
        </w:rPr>
        <w:t xml:space="preserve">" </w:t>
      </w:r>
      <w:r>
        <w:rPr>
          <w:rtl w:val="true"/>
        </w:rPr>
        <w:t>בלקייה עד למעצרו בתיק דנא</w:t>
      </w:r>
      <w:r>
        <w:rPr>
          <w:rtl w:val="true"/>
        </w:rPr>
        <w:t xml:space="preserve">. </w:t>
      </w:r>
      <w:r>
        <w:rPr>
          <w:rtl w:val="true"/>
        </w:rPr>
        <w:t>הנאשם מודה במיוחס לו אך התקשה לקחת אחריות על מעשיו</w:t>
      </w:r>
      <w:r>
        <w:rPr>
          <w:rtl w:val="true"/>
        </w:rPr>
        <w:t xml:space="preserve">, </w:t>
      </w:r>
      <w:r>
        <w:rPr>
          <w:rtl w:val="true"/>
        </w:rPr>
        <w:t>טשטש את מעורבותו הפלילית</w:t>
      </w:r>
      <w:r>
        <w:rPr>
          <w:rtl w:val="true"/>
        </w:rPr>
        <w:t xml:space="preserve">, </w:t>
      </w:r>
      <w:r>
        <w:rPr>
          <w:rtl w:val="true"/>
        </w:rPr>
        <w:t>נטה להשליך אחריות על גורמים חיצוניים והתמקד בתחושת קורבנות עצמית</w:t>
      </w:r>
      <w:r>
        <w:rPr>
          <w:rtl w:val="true"/>
        </w:rPr>
        <w:t xml:space="preserve">. </w:t>
      </w:r>
      <w:r>
        <w:rPr>
          <w:rtl w:val="true"/>
        </w:rPr>
        <w:t>שרות המבחן התרשם מקושיו של הנאשם לבחון את מעשיו בעין ביקורתית ומהיעדר מודעות לדפוסי התנהלותו האלימים</w:t>
      </w:r>
      <w:r>
        <w:rPr>
          <w:rtl w:val="true"/>
        </w:rPr>
        <w:t xml:space="preserve">, </w:t>
      </w:r>
      <w:r>
        <w:rPr>
          <w:rtl w:val="true"/>
        </w:rPr>
        <w:t>כן התרשם כי האירוע התרחש על רקע מאפייני אישיות אלימים בצד פגיעה בתחושת כבוד עצמי ותגובה אימפולסיבית</w:t>
      </w:r>
      <w:r>
        <w:rPr>
          <w:rtl w:val="true"/>
        </w:rPr>
        <w:t xml:space="preserve">. </w:t>
      </w:r>
      <w:r>
        <w:rPr>
          <w:rtl w:val="true"/>
        </w:rPr>
        <w:t>לאור האמור לעיל ונוכח הכחשתו של הנאשם כל צורך בטיפול</w:t>
      </w:r>
      <w:r>
        <w:rPr>
          <w:rtl w:val="true"/>
        </w:rPr>
        <w:t xml:space="preserve">, </w:t>
      </w:r>
      <w:r>
        <w:rPr>
          <w:rtl w:val="true"/>
        </w:rPr>
        <w:t>נמנע שרות המבחן מלבוא בהמלצה טיפולית 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72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כראיות לעונש מטעם המאשימה</w:t>
      </w:r>
      <w:r>
        <w:rPr>
          <w:rtl w:val="true"/>
        </w:rPr>
        <w:t xml:space="preserve">, </w:t>
      </w:r>
      <w:r>
        <w:rPr>
          <w:rtl w:val="true"/>
        </w:rPr>
        <w:t xml:space="preserve">הוגש העתק מגיליונות הרישום הפלילי של הנאשמים מהם עולה כי לחובתו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עומדות שתי הרשעות בגין עבירות אלימות בגינן ריצה תקופת מאסר בפועל בת שנה</w:t>
      </w:r>
      <w:r>
        <w:rPr>
          <w:rtl w:val="true"/>
        </w:rPr>
        <w:t xml:space="preserve">; </w:t>
      </w:r>
      <w:r>
        <w:rPr>
          <w:rtl w:val="true"/>
        </w:rPr>
        <w:t xml:space="preserve">כן עולה כי בית משפט לנוער בבאר שבע קבע כי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ביצע עבירה של היזק לרכוש בתנאים מחמירים אך נמנע מהרשעתו והטיל עליו עבודות שירות 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72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 xml:space="preserve">כראיות לעונש מטעם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הוגש מכתב ממנהל בית הספר בו עבד הנאשם כמאבטח המעיד כי הנאשם ביצע עבודתו באחריות ולשביעות רצון המערכת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72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אמם של הנאשמים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דלאל אלאסד</w:t>
      </w:r>
      <w:r>
        <w:rPr>
          <w:rtl w:val="true"/>
        </w:rPr>
        <w:t xml:space="preserve">, </w:t>
      </w:r>
      <w:r>
        <w:rPr>
          <w:rtl w:val="true"/>
        </w:rPr>
        <w:t xml:space="preserve">העידה מטעמם על משפחתם בת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נפשות</w:t>
      </w:r>
      <w:r>
        <w:rPr>
          <w:rtl w:val="true"/>
        </w:rPr>
        <w:t xml:space="preserve">, </w:t>
      </w:r>
      <w:r>
        <w:rPr>
          <w:rtl w:val="true"/>
        </w:rPr>
        <w:t>המתגוררת ביחד עם הסבתא</w:t>
      </w:r>
      <w:r>
        <w:rPr>
          <w:rtl w:val="true"/>
        </w:rPr>
        <w:t xml:space="preserve">, </w:t>
      </w:r>
      <w:r>
        <w:rPr>
          <w:rtl w:val="true"/>
        </w:rPr>
        <w:t>אבי המשפחה והסבתא חולים</w:t>
      </w:r>
      <w:r>
        <w:rPr>
          <w:rtl w:val="true"/>
        </w:rPr>
        <w:t xml:space="preserve">, </w:t>
      </w:r>
      <w:r>
        <w:rPr>
          <w:rtl w:val="true"/>
        </w:rPr>
        <w:t>הנאשמים מסייעים לאם לסעוד אותם ונושאים בנטל כלכלת המשפחה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72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בפתח טיעוניה לעונש</w:t>
      </w:r>
      <w:r>
        <w:rPr>
          <w:rtl w:val="true"/>
        </w:rPr>
        <w:t xml:space="preserve">, </w:t>
      </w:r>
      <w:r>
        <w:rPr>
          <w:rtl w:val="true"/>
        </w:rPr>
        <w:t>הבהירה ב</w:t>
      </w:r>
      <w:r>
        <w:rPr>
          <w:rtl w:val="true"/>
        </w:rPr>
        <w:t>"</w:t>
      </w:r>
      <w:r>
        <w:rPr>
          <w:rtl w:val="true"/>
        </w:rPr>
        <w:t>כ המאשימה כי הנאשמים נטפלו למתלוננים לאחר ששבו מעבודתם בשעות לילה מאוחרת וללא כל התגרות מצידם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הדגישה כי הנאשמים היו מצויידים בסכין ובאקדח וללא כל מורא מהחוק או עכבות</w:t>
      </w:r>
      <w:r>
        <w:rPr>
          <w:rtl w:val="true"/>
        </w:rPr>
        <w:t xml:space="preserve">, </w:t>
      </w:r>
      <w:r>
        <w:rPr>
          <w:rtl w:val="true"/>
        </w:rPr>
        <w:t>ירו לעברם של המתלוננים על לא עוול בכפם</w:t>
      </w:r>
      <w:r>
        <w:rPr>
          <w:rtl w:val="true"/>
        </w:rPr>
        <w:t xml:space="preserve">. </w:t>
      </w:r>
      <w:r>
        <w:rPr>
          <w:rtl w:val="true"/>
        </w:rPr>
        <w:t>לשיטת המאשימה</w:t>
      </w:r>
      <w:r>
        <w:rPr>
          <w:rtl w:val="true"/>
        </w:rPr>
        <w:t xml:space="preserve">, </w:t>
      </w:r>
      <w:r>
        <w:rPr>
          <w:rtl w:val="true"/>
        </w:rPr>
        <w:t>אין בעובדה שאיש לא נפגע כדי להקל על הנאשם באשר אבן הבוחן מצוי בפוטנציאל הסיכון הטמון במעשה ולא בתוצאותיו</w:t>
      </w:r>
      <w:r>
        <w:rPr>
          <w:rtl w:val="true"/>
        </w:rPr>
        <w:t xml:space="preserve">. </w:t>
      </w:r>
      <w:r>
        <w:rPr>
          <w:rtl w:val="true"/>
        </w:rPr>
        <w:t>משנה חומרה נעוץ</w:t>
      </w:r>
      <w:r>
        <w:rPr>
          <w:rtl w:val="true"/>
        </w:rPr>
        <w:t xml:space="preserve">, </w:t>
      </w: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 xml:space="preserve">בכך שנאשם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ביצע את המעשים בהיותו מאבטח במקום שבמסגרת תפקידו אמון היה על שלום הציבור</w:t>
      </w:r>
      <w:r>
        <w:rPr>
          <w:rtl w:val="true"/>
        </w:rPr>
        <w:t xml:space="preserve">, </w:t>
      </w:r>
      <w:r>
        <w:rPr>
          <w:rtl w:val="true"/>
        </w:rPr>
        <w:t>מה גם שהנאשמים איימו על המתלוננים לבל תדרוך כף רגלם בשטח שהוא ציבורי</w:t>
      </w:r>
      <w:r>
        <w:rPr>
          <w:rtl w:val="true"/>
        </w:rPr>
        <w:t xml:space="preserve">. </w:t>
      </w:r>
      <w:r>
        <w:rPr>
          <w:rtl w:val="true"/>
        </w:rPr>
        <w:t>לשיטת המאשימה</w:t>
      </w:r>
      <w:r>
        <w:rPr>
          <w:rtl w:val="true"/>
        </w:rPr>
        <w:t xml:space="preserve">, </w:t>
      </w:r>
      <w:r>
        <w:rPr>
          <w:rtl w:val="true"/>
        </w:rPr>
        <w:t>העבירות ונסיבות ביצוען מלמדות על נאשמים אימפולסיביים</w:t>
      </w:r>
      <w:r>
        <w:rPr>
          <w:rtl w:val="true"/>
        </w:rPr>
        <w:t xml:space="preserve">, </w:t>
      </w:r>
      <w:r>
        <w:rPr>
          <w:rtl w:val="true"/>
        </w:rPr>
        <w:t>אלימים ומסוכנים לציבור</w:t>
      </w:r>
      <w:r>
        <w:rPr>
          <w:rtl w:val="true"/>
        </w:rPr>
        <w:t xml:space="preserve">, </w:t>
      </w:r>
      <w:r>
        <w:rPr>
          <w:rtl w:val="true"/>
        </w:rPr>
        <w:t>אשר אינם בוחלים באמצעים על מנת להתעמר באחרים באלימות ובבריוניות על לא עוול בכפם</w:t>
      </w:r>
      <w:r>
        <w:rPr>
          <w:rtl w:val="true"/>
        </w:rPr>
        <w:t xml:space="preserve">; </w:t>
      </w:r>
      <w:r>
        <w:rPr>
          <w:rtl w:val="true"/>
        </w:rPr>
        <w:t>והודגש כי נשק מהווה כלי מוות שאין לדעת מה תהיינה תוצאות השימוש בו</w:t>
      </w:r>
      <w:r>
        <w:rPr>
          <w:rtl w:val="true"/>
        </w:rPr>
        <w:t xml:space="preserve">. </w:t>
      </w:r>
      <w:r>
        <w:rPr>
          <w:rtl w:val="true"/>
        </w:rPr>
        <w:t xml:space="preserve">בעניינו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נטען כי מעשיו חמורים יותר יחסית לנאשם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התנהגותו האלימה הולכת ומסלימה עם השנים כפי שעולה מגיליון הרישום הפלילי שלו ומתסקיר שרות המבחן ויש להעביר לו מסר ברור לפיו החברה לא תסכין עם התנהגותו האלימה והאימפולסיבית</w:t>
      </w:r>
      <w:r>
        <w:rPr>
          <w:rtl w:val="true"/>
        </w:rPr>
        <w:t xml:space="preserve">. </w:t>
      </w:r>
      <w:r>
        <w:rPr>
          <w:rtl w:val="true"/>
        </w:rPr>
        <w:t xml:space="preserve">בעניינו של 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נטען כי חרף העובדה כי ניתנה לו ההזדמנות לשפר את דרכיו</w:t>
      </w:r>
      <w:r>
        <w:rPr>
          <w:rtl w:val="true"/>
        </w:rPr>
        <w:t xml:space="preserve">, </w:t>
      </w:r>
      <w:r>
        <w:rPr>
          <w:rtl w:val="true"/>
        </w:rPr>
        <w:t xml:space="preserve">בחר לחבור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ולבצע את המיוחס לו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יספה ועמדה על חומרתן של עבירות האלימות הפושות בחברה ישראלית</w:t>
      </w:r>
      <w:r>
        <w:rPr>
          <w:rtl w:val="true"/>
        </w:rPr>
        <w:t xml:space="preserve">, </w:t>
      </w:r>
      <w:r>
        <w:rPr>
          <w:rtl w:val="true"/>
        </w:rPr>
        <w:t>במהלכן נעשה שימוש לא אחת בנשק חם העלול להביא לתוצאה קטלנית</w:t>
      </w:r>
      <w:r>
        <w:rPr>
          <w:rtl w:val="true"/>
        </w:rPr>
        <w:t xml:space="preserve">, </w:t>
      </w:r>
      <w:r>
        <w:rPr>
          <w:rtl w:val="true"/>
        </w:rPr>
        <w:t>כך שנדרש למגר את התופעה ביד קשה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עתרה להשית על הנאשמים מאסר בפועל ארוך ומרתיע</w:t>
      </w:r>
      <w:r>
        <w:rPr>
          <w:rtl w:val="true"/>
        </w:rPr>
        <w:t xml:space="preserve">, </w:t>
      </w:r>
      <w:r>
        <w:rPr>
          <w:rtl w:val="true"/>
        </w:rPr>
        <w:t>מאסר על תנאי ארוך ומרתיע</w:t>
      </w:r>
      <w:r>
        <w:rPr>
          <w:rtl w:val="true"/>
        </w:rPr>
        <w:t xml:space="preserve">, </w:t>
      </w:r>
      <w:r>
        <w:rPr>
          <w:rtl w:val="true"/>
        </w:rPr>
        <w:t>קנס כספי ופיצוי למתלוננים</w:t>
      </w:r>
      <w:r>
        <w:rPr>
          <w:rtl w:val="true"/>
        </w:rPr>
        <w:t xml:space="preserve">, </w:t>
      </w:r>
      <w:r>
        <w:rPr>
          <w:rtl w:val="true"/>
        </w:rPr>
        <w:t>בייחוד לפריד</w:t>
      </w:r>
      <w:r>
        <w:rPr>
          <w:rtl w:val="true"/>
        </w:rPr>
        <w:t>.</w:t>
      </w:r>
    </w:p>
    <w:p>
      <w:pPr>
        <w:pStyle w:val="Normal"/>
        <w:spacing w:lineRule="auto" w:line="360"/>
        <w:ind w:end="72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בטיעוניה לעונש</w:t>
      </w:r>
      <w:r>
        <w:rPr>
          <w:rtl w:val="true"/>
        </w:rPr>
        <w:t xml:space="preserve">, </w:t>
      </w:r>
      <w:r>
        <w:rPr>
          <w:rtl w:val="true"/>
        </w:rPr>
        <w:t>פתחה ב</w:t>
      </w:r>
      <w:r>
        <w:rPr>
          <w:rtl w:val="true"/>
        </w:rPr>
        <w:t>"</w:t>
      </w:r>
      <w:r>
        <w:rPr>
          <w:rtl w:val="true"/>
        </w:rPr>
        <w:t xml:space="preserve">כ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וטענה כי לאחר תיקון כתב האישום</w:t>
      </w:r>
      <w:r>
        <w:rPr>
          <w:rtl w:val="true"/>
        </w:rPr>
        <w:t xml:space="preserve">, </w:t>
      </w:r>
      <w:r>
        <w:rPr>
          <w:rtl w:val="true"/>
        </w:rPr>
        <w:t>העבירות המיוחסות לנאשם מצויות בסמכות בית משפט השלום ואינן חמורות</w:t>
      </w:r>
      <w:r>
        <w:rPr>
          <w:rtl w:val="true"/>
        </w:rPr>
        <w:t xml:space="preserve">, </w:t>
      </w:r>
      <w:r>
        <w:rPr>
          <w:rtl w:val="true"/>
        </w:rPr>
        <w:t>למעט עבירה אחת של נשיאת נשק המצויה בסמכות המחוזי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הדגישה כי הירי בוצע לצורך הפחדה וכי העונש המירבי הקבוע בצידו עומד על שנת מאסר</w:t>
      </w:r>
      <w:r>
        <w:rPr>
          <w:rtl w:val="true"/>
        </w:rPr>
        <w:t xml:space="preserve">, </w:t>
      </w:r>
      <w:r>
        <w:rPr>
          <w:rtl w:val="true"/>
        </w:rPr>
        <w:t>כן הודגש כי עבירת התקיפה יוחסה לו אך בשל נוכחותו במקום ובפועל בוצעה ע</w:t>
      </w:r>
      <w:r>
        <w:rPr>
          <w:rtl w:val="true"/>
        </w:rPr>
        <w:t>"</w:t>
      </w:r>
      <w:r>
        <w:rPr>
          <w:rtl w:val="true"/>
        </w:rPr>
        <w:t>י האחר</w:t>
      </w:r>
      <w:r>
        <w:rPr>
          <w:rtl w:val="true"/>
        </w:rPr>
        <w:t xml:space="preserve">. </w:t>
      </w:r>
      <w:r>
        <w:rPr>
          <w:rtl w:val="true"/>
        </w:rPr>
        <w:t>לשיטת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הנאשם ביקש למלא את תפקידו ולהגן על רכוש בית הספר עליו הופקד לשמור</w:t>
      </w:r>
      <w:r>
        <w:rPr>
          <w:rtl w:val="true"/>
        </w:rPr>
        <w:t xml:space="preserve">, </w:t>
      </w:r>
      <w:r>
        <w:rPr>
          <w:rtl w:val="true"/>
        </w:rPr>
        <w:t>במסגרת זו ביקש לבחון את מעשיהם של המתלוננים במקום</w:t>
      </w:r>
      <w:r>
        <w:rPr>
          <w:rtl w:val="true"/>
        </w:rPr>
        <w:t xml:space="preserve">, </w:t>
      </w:r>
      <w:r>
        <w:rPr>
          <w:rtl w:val="true"/>
        </w:rPr>
        <w:t>בשל התנגדות המתלוננים התפתח עימות בין פריד לאחר</w:t>
      </w:r>
      <w:r>
        <w:rPr>
          <w:rtl w:val="true"/>
        </w:rPr>
        <w:t xml:space="preserve">, </w:t>
      </w:r>
      <w:r>
        <w:rPr>
          <w:rtl w:val="true"/>
        </w:rPr>
        <w:t>או אז ירה הנאשם באקדח ירי אזהרה לכיוון הקרקע ובאוויר על מנת להרגיע את הרוחות</w:t>
      </w:r>
      <w:r>
        <w:rPr>
          <w:rtl w:val="true"/>
        </w:rPr>
        <w:t xml:space="preserve">, </w:t>
      </w:r>
      <w:r>
        <w:rPr>
          <w:rtl w:val="true"/>
        </w:rPr>
        <w:t>כך שהמניע שלו לא היה עברייני</w:t>
      </w:r>
      <w:r>
        <w:rPr>
          <w:rtl w:val="true"/>
        </w:rPr>
        <w:t xml:space="preserve">. </w:t>
      </w:r>
      <w:r>
        <w:rPr>
          <w:rtl w:val="true"/>
        </w:rPr>
        <w:t>הודגש כי הנאשם לא הרים יד על המתלוננים ולא הייתה כל תוכנית מוקדמת לנקיטת אלימות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הבהירה כי בפועל אף אחד מהמתלוננים לא נפגע ולא נגרם כל נזק</w:t>
      </w:r>
      <w:r>
        <w:rPr>
          <w:rtl w:val="true"/>
        </w:rPr>
        <w:t xml:space="preserve">. </w:t>
      </w:r>
      <w:r>
        <w:rPr>
          <w:rtl w:val="true"/>
        </w:rPr>
        <w:t>לשיטת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ביחסים שבין הנאשם למתלוננים נענש הנאשם ללא כל פרופורציה למעשיו</w:t>
      </w:r>
      <w:r>
        <w:rPr>
          <w:rtl w:val="true"/>
        </w:rPr>
        <w:t xml:space="preserve">, </w:t>
      </w:r>
      <w:r>
        <w:rPr>
          <w:rtl w:val="true"/>
        </w:rPr>
        <w:t>נוכח העובדה כי למחרת היום נורה בראשו ובידו ע</w:t>
      </w:r>
      <w:r>
        <w:rPr>
          <w:rtl w:val="true"/>
        </w:rPr>
        <w:t>"</w:t>
      </w:r>
      <w:r>
        <w:rPr>
          <w:rtl w:val="true"/>
        </w:rPr>
        <w:t>י אחיו של פריד ועל כך אין חולק</w:t>
      </w:r>
      <w:r>
        <w:rPr>
          <w:rtl w:val="true"/>
        </w:rPr>
        <w:t xml:space="preserve">, </w:t>
      </w:r>
      <w:r>
        <w:rPr>
          <w:rtl w:val="true"/>
        </w:rPr>
        <w:t>עד היום סובל הנאשם מכאבים ומטראומה נפשית</w:t>
      </w:r>
      <w:r>
        <w:rPr>
          <w:rtl w:val="true"/>
        </w:rPr>
        <w:t xml:space="preserve">. </w:t>
      </w:r>
      <w:r>
        <w:rPr>
          <w:rtl w:val="true"/>
        </w:rPr>
        <w:t>עוד יספה וטענה ב</w:t>
      </w:r>
      <w:r>
        <w:rPr>
          <w:rtl w:val="true"/>
        </w:rPr>
        <w:t>"</w:t>
      </w:r>
      <w:r>
        <w:rPr>
          <w:rtl w:val="true"/>
        </w:rPr>
        <w:t>כ הנאשם כי הנאשם מנהל אורח חיים נורמטיבי</w:t>
      </w:r>
      <w:r>
        <w:rPr>
          <w:rtl w:val="true"/>
        </w:rPr>
        <w:t xml:space="preserve">, </w:t>
      </w:r>
      <w:r>
        <w:rPr>
          <w:rtl w:val="true"/>
        </w:rPr>
        <w:t xml:space="preserve">עברו הפלילי מסתכם בעבירה אחת שבוצעה על רקע גיל ההתבגרות לפני </w:t>
      </w:r>
      <w:r>
        <w:rPr/>
        <w:t>6.5</w:t>
      </w:r>
      <w:r>
        <w:rPr>
          <w:rtl w:val="true"/>
        </w:rPr>
        <w:t xml:space="preserve"> </w:t>
      </w:r>
      <w:r>
        <w:rPr>
          <w:rtl w:val="true"/>
        </w:rPr>
        <w:t>שנים ושרות המבחן התרשם מהיעדרם של דפוסי התנהגות עבריינים</w:t>
      </w:r>
      <w:r>
        <w:rPr>
          <w:rtl w:val="true"/>
        </w:rPr>
        <w:t xml:space="preserve">, </w:t>
      </w:r>
      <w:r>
        <w:rPr>
          <w:rtl w:val="true"/>
        </w:rPr>
        <w:t>האירוע היה חריג ולאחריו השלים הנאשם תעודת בגרות מלאה</w:t>
      </w:r>
      <w:r>
        <w:rPr>
          <w:rtl w:val="true"/>
        </w:rPr>
        <w:t xml:space="preserve">, </w:t>
      </w:r>
      <w:r>
        <w:rPr>
          <w:rtl w:val="true"/>
        </w:rPr>
        <w:t>מאז עובד הנאשם במקום קבוע</w:t>
      </w:r>
      <w:r>
        <w:rPr>
          <w:rtl w:val="true"/>
        </w:rPr>
        <w:t xml:space="preserve">, </w:t>
      </w:r>
      <w:r>
        <w:rPr>
          <w:rtl w:val="true"/>
        </w:rPr>
        <w:t>הוא עובד ממושמע</w:t>
      </w:r>
      <w:r>
        <w:rPr>
          <w:rtl w:val="true"/>
        </w:rPr>
        <w:t xml:space="preserve">, </w:t>
      </w:r>
      <w:r>
        <w:rPr>
          <w:rtl w:val="true"/>
        </w:rPr>
        <w:t>אחראי ומסור ומסייע בכלכלת הבית ובטיפול בסבתו החולה</w:t>
      </w:r>
      <w:r>
        <w:rPr>
          <w:rtl w:val="true"/>
        </w:rPr>
        <w:t xml:space="preserve">. </w:t>
      </w:r>
      <w:r>
        <w:rPr>
          <w:rtl w:val="true"/>
        </w:rPr>
        <w:t>עוד נטען כי העבירה דנא בוצעה לא מתוך כוונה לפגוע אלא בשל מוטיבציית יתר של הנאשם בביצוע עבודתו</w:t>
      </w:r>
      <w:r>
        <w:rPr>
          <w:rtl w:val="true"/>
        </w:rPr>
        <w:t xml:space="preserve">. </w:t>
      </w:r>
      <w:r>
        <w:rPr>
          <w:rtl w:val="true"/>
        </w:rPr>
        <w:t>בעניין תסקיר שרות המבחן</w:t>
      </w:r>
      <w:r>
        <w:rPr>
          <w:rtl w:val="true"/>
        </w:rPr>
        <w:t xml:space="preserve">, </w:t>
      </w:r>
      <w:r>
        <w:rPr>
          <w:rtl w:val="true"/>
        </w:rPr>
        <w:t>נטען כי התסקיר מסתמך על עובדות שגויות</w:t>
      </w:r>
      <w:r>
        <w:rPr>
          <w:rtl w:val="true"/>
        </w:rPr>
        <w:t xml:space="preserve">, </w:t>
      </w:r>
      <w:r>
        <w:rPr>
          <w:rtl w:val="true"/>
        </w:rPr>
        <w:t>הסכסוך שנתגלע בין משפחות הנאשמים והמתלוננים נובע מהאירוע השני בכתב האישום</w:t>
      </w:r>
      <w:r>
        <w:rPr>
          <w:rtl w:val="true"/>
        </w:rPr>
        <w:t xml:space="preserve">, </w:t>
      </w:r>
      <w:r>
        <w:rPr>
          <w:rtl w:val="true"/>
        </w:rPr>
        <w:t>כך שהנאשם לא פעל באירוע על מנת להגן על כבודו ועל כבוד משפחתו וכנגזרת</w:t>
      </w:r>
      <w:r>
        <w:rPr>
          <w:rtl w:val="true"/>
        </w:rPr>
        <w:t xml:space="preserve">- </w:t>
      </w:r>
      <w:r>
        <w:rPr>
          <w:rtl w:val="true"/>
        </w:rPr>
        <w:t>לא התחמק הנאשם מאחריות כפי שקצינת המבחן שגתה לחשוב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טענה עוד לאכיפה סלקטיבית שכן האחר</w:t>
      </w:r>
      <w:r>
        <w:rPr>
          <w:rtl w:val="true"/>
        </w:rPr>
        <w:t xml:space="preserve">, </w:t>
      </w:r>
      <w:r>
        <w:rPr>
          <w:rtl w:val="true"/>
        </w:rPr>
        <w:t>ראסמי אלאסד</w:t>
      </w:r>
      <w:r>
        <w:rPr>
          <w:rtl w:val="true"/>
        </w:rPr>
        <w:t xml:space="preserve">, </w:t>
      </w:r>
      <w:r>
        <w:rPr>
          <w:rtl w:val="true"/>
        </w:rPr>
        <w:t>לא נחקר משטרה וכל שכן לא הוגש נגדו כתב אישום למרות שהנאשם מסר את שמו לידי המשטרה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אין המדובר באירוע חמור המחייב את מאסרו של הנאשם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ונוכח מדיניות הענישה</w:t>
      </w:r>
      <w:r>
        <w:rPr>
          <w:rtl w:val="true"/>
        </w:rPr>
        <w:t xml:space="preserve">, </w:t>
      </w:r>
      <w:r>
        <w:rPr>
          <w:rtl w:val="true"/>
        </w:rPr>
        <w:t>עתרה ב</w:t>
      </w:r>
      <w:r>
        <w:rPr>
          <w:rtl w:val="true"/>
        </w:rPr>
        <w:t>"</w:t>
      </w:r>
      <w:r>
        <w:rPr>
          <w:rtl w:val="true"/>
        </w:rPr>
        <w:t>כ הנאשם להסתפק בתקופת מעצרו של הנאשם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72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בטיעוניו לעונש</w:t>
      </w:r>
      <w:r>
        <w:rPr>
          <w:rtl w:val="true"/>
        </w:rPr>
        <w:t xml:space="preserve">, </w:t>
      </w:r>
      <w:r>
        <w:rPr>
          <w:rtl w:val="true"/>
        </w:rPr>
        <w:t>פתח ב</w:t>
      </w:r>
      <w:r>
        <w:rPr>
          <w:rtl w:val="true"/>
        </w:rPr>
        <w:t>"</w:t>
      </w:r>
      <w:r>
        <w:rPr>
          <w:rtl w:val="true"/>
        </w:rPr>
        <w:t xml:space="preserve">כ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והדגיש כי חלקו קל יחסית לזה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באירוע ומסתכם בכך שהחזיק אקדח אותו מסר לנאשם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נטען כי הנאשם נעצר בעטיין של העבירות החמורות נשוא כתב האישום המקורי</w:t>
      </w:r>
      <w:r>
        <w:rPr>
          <w:rtl w:val="true"/>
        </w:rPr>
        <w:t xml:space="preserve">, </w:t>
      </w:r>
      <w:r>
        <w:rPr>
          <w:rtl w:val="true"/>
        </w:rPr>
        <w:t>עבירות אלו נמחקו מטעמים ראייתיים מכתב האישום ומכאן שנגרם לנאשם עוול הן בעצם המעצר והן בניהולו של ההליך בבית משפט המחוזי ולא בשלום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הדגיש כי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 נטל כל חלק באירוע השני לכתב האישום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 xml:space="preserve">כי עסקינן בנאשם בן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שעבד טרם מעצרו</w:t>
      </w:r>
      <w:r>
        <w:rPr>
          <w:rtl w:val="true"/>
        </w:rPr>
        <w:t xml:space="preserve">, </w:t>
      </w:r>
      <w:r>
        <w:rPr>
          <w:rtl w:val="true"/>
        </w:rPr>
        <w:t>אין לו הרשעות קודמות</w:t>
      </w:r>
      <w:r>
        <w:rPr>
          <w:rtl w:val="true"/>
        </w:rPr>
        <w:t xml:space="preserve">, </w:t>
      </w:r>
      <w:r>
        <w:rPr>
          <w:rtl w:val="true"/>
        </w:rPr>
        <w:t>עברו הפלילי מתמצה בתיק ללא הרשעה בגין עבירה של היזק לרכוש</w:t>
      </w:r>
      <w:r>
        <w:rPr>
          <w:rtl w:val="true"/>
        </w:rPr>
        <w:t xml:space="preserve">. </w:t>
      </w:r>
      <w:r>
        <w:rPr>
          <w:rtl w:val="true"/>
        </w:rPr>
        <w:t>בנסיבות אלו ונוכח מדיניות הענישה</w:t>
      </w:r>
      <w:r>
        <w:rPr>
          <w:rtl w:val="true"/>
        </w:rPr>
        <w:t xml:space="preserve">, </w:t>
      </w:r>
      <w:r>
        <w:rPr>
          <w:rtl w:val="true"/>
        </w:rPr>
        <w:t>עתר ב</w:t>
      </w:r>
      <w:r>
        <w:rPr>
          <w:rtl w:val="true"/>
        </w:rPr>
        <w:t>"</w:t>
      </w:r>
      <w:r>
        <w:rPr>
          <w:rtl w:val="true"/>
        </w:rPr>
        <w:t>כ הנאשם להסתפק בתקופת מעצרו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72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 xml:space="preserve">הנאשמים הביעו צער וחרטה על מעשיהם ונאשם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מסר כי הינו פועל להשגת סולחה בין המשפחות</w:t>
      </w:r>
      <w:r>
        <w:rPr>
          <w:rtl w:val="true"/>
        </w:rPr>
        <w:t>.</w:t>
      </w:r>
    </w:p>
    <w:p>
      <w:pPr>
        <w:pStyle w:val="Normal"/>
        <w:spacing w:lineRule="auto" w:line="360"/>
        <w:ind w:end="72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b/>
          <w:b/>
          <w:bCs/>
          <w:rtl w:val="true"/>
        </w:rPr>
        <w:t>דיון</w:t>
      </w:r>
      <w:r>
        <w:rPr>
          <w:rtl w:val="true"/>
        </w:rPr>
        <w:t xml:space="preserve">: </w:t>
      </w:r>
      <w:r>
        <w:rPr>
          <w:rtl w:val="true"/>
        </w:rPr>
        <w:t xml:space="preserve">הנאשמים הורשעו בעבירות חמורות של איומים באמצעות אקדח שנשאו באמתחתם ונאשם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 בנוסף בעבירות של תקיפה בנסיבות מחמירות ובירי באזור מגורים</w:t>
      </w:r>
      <w:r>
        <w:rPr>
          <w:rtl w:val="true"/>
        </w:rPr>
        <w:t xml:space="preserve">. </w:t>
      </w:r>
      <w:r>
        <w:rPr>
          <w:rtl w:val="true"/>
        </w:rPr>
        <w:t>חומרתו של האירוע בעשיית דין עצמי ובנטילת החוק לידיים</w:t>
      </w:r>
      <w:r>
        <w:rPr>
          <w:rtl w:val="true"/>
        </w:rPr>
        <w:t xml:space="preserve">, </w:t>
      </w:r>
      <w:r>
        <w:rPr>
          <w:rtl w:val="true"/>
        </w:rPr>
        <w:t>עת חברו להם שלושה רעים ואיימו באמצעות אקדח על אחרים לבל תדרוך כף רגלם במקום</w:t>
      </w:r>
      <w:r>
        <w:rPr>
          <w:rtl w:val="true"/>
        </w:rPr>
        <w:t xml:space="preserve">, </w:t>
      </w:r>
      <w:r>
        <w:rPr>
          <w:rtl w:val="true"/>
        </w:rPr>
        <w:t>אשר הינו ראוי לציין מקום ציבורי</w:t>
      </w:r>
      <w:r>
        <w:rPr>
          <w:rtl w:val="true"/>
        </w:rPr>
        <w:t xml:space="preserve">, </w:t>
      </w:r>
      <w:r>
        <w:rPr>
          <w:rtl w:val="true"/>
        </w:rPr>
        <w:t>באמצעות אקדח ותוך כדי שימוש באלימות ואף בירי שתכליתו להפחידם</w:t>
      </w:r>
      <w:r>
        <w:rPr>
          <w:rtl w:val="true"/>
        </w:rPr>
        <w:t xml:space="preserve">. </w:t>
      </w:r>
      <w:r>
        <w:rPr>
          <w:rtl w:val="true"/>
        </w:rPr>
        <w:t xml:space="preserve">העבירות בוצעו בסמוך למקום עבודתו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כמאבטח בית הספר ולכך נודעת משנה חומרה שהרי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מעל בתפקידו ופגע בעוברי אורח בעת שהיה עליו לעמוד על המשמר ולהגן על הסדר הציבורי במקום</w:t>
      </w:r>
      <w:r>
        <w:rPr>
          <w:rtl w:val="true"/>
        </w:rPr>
        <w:t xml:space="preserve">. </w:t>
      </w:r>
      <w:r>
        <w:rPr>
          <w:rtl w:val="true"/>
        </w:rPr>
        <w:t>רבות נכתב על תת תרבות הסכין ועל הנשק חליפו</w:t>
      </w:r>
      <w:r>
        <w:rPr>
          <w:rtl w:val="true"/>
        </w:rPr>
        <w:t xml:space="preserve">, </w:t>
      </w:r>
      <w:r>
        <w:rPr>
          <w:rtl w:val="true"/>
        </w:rPr>
        <w:t>בחלוף העיתים אנו עדים לתופעה ההולכת ופושה בחברתנו בה נושאים אנשים נשק על גופם או בקרבתם וממהרים לשלפו ולעשות בו שימוש נואל ככלי לפתרון סכסוכים ולעיתים בעטיו של פעוט ושולי</w:t>
      </w:r>
      <w:r>
        <w:rPr>
          <w:rtl w:val="true"/>
        </w:rPr>
        <w:t xml:space="preserve">. </w:t>
      </w:r>
      <w:r>
        <w:rPr>
          <w:rtl w:val="true"/>
        </w:rPr>
        <w:t>אכן ליבתה של חומרת התופעה בפוטנציאל הסיכון הטמון בה וכדברי בית המשפט העליון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יש ליתן משקל בכל מקרה לסיכון הגלום בכך שנשק בעל פוטנציאל קטילה מוחזק מבלי שיש עליו ועל בעליו פיקוח מוסדר של הרשויות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 המחזיק נתון תמיד לסיכון שיתפתה לעשות שימוש 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 ברגעי לחץ ופחד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3300/06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 סנינה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 פורסם</w:t>
      </w:r>
      <w:r>
        <w:rPr>
          <w:rtl w:val="true"/>
        </w:rPr>
        <w:t xml:space="preserve">). </w:t>
      </w:r>
      <w:r>
        <w:rPr>
          <w:rtl w:val="true"/>
        </w:rPr>
        <w:t>מתיאוריה למציאות</w:t>
      </w:r>
      <w:r>
        <w:rPr>
          <w:rtl w:val="true"/>
        </w:rPr>
        <w:t xml:space="preserve">, </w:t>
      </w:r>
      <w:r>
        <w:rPr>
          <w:rtl w:val="true"/>
        </w:rPr>
        <w:t xml:space="preserve">בענייננו לא ברור על מה ולמה נשא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נשק על גופו וכל שכן מדוע מצא לנכון להעבירו לידי נאשם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 xml:space="preserve">כבר נאמר לא אחת כי </w:t>
      </w:r>
      <w:r>
        <w:rPr>
          <w:rtl w:val="true"/>
        </w:rPr>
        <w:t>"</w:t>
      </w:r>
      <w:r>
        <w:rPr>
          <w:b/>
          <w:b/>
          <w:bCs/>
          <w:rtl w:val="true"/>
        </w:rPr>
        <w:t>מחזה שמערכתו הראשונה נראה 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עשוי האקדח לירות במערכה האחרונה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בית המשפט העליון הביע עמדתו בעניין חומרתה של התופעה וההכרח לבערה</w:t>
      </w:r>
      <w:r>
        <w:rPr>
          <w:rtl w:val="true"/>
        </w:rPr>
        <w:t xml:space="preserve">, </w:t>
      </w:r>
      <w:r>
        <w:rPr>
          <w:rtl w:val="true"/>
        </w:rPr>
        <w:t>בהאי לשונא</w:t>
      </w:r>
      <w:r>
        <w:rPr>
          <w:rtl w:val="true"/>
        </w:rPr>
        <w:t>:</w:t>
      </w:r>
    </w:p>
    <w:p>
      <w:pPr>
        <w:pStyle w:val="Subtitle"/>
        <w:ind w:end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Subtitle"/>
        <w:ind w:start="926" w:end="720"/>
        <w:jc w:val="both"/>
        <w:rPr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  <w:rtl w:val="true"/>
        </w:rPr>
        <w:t>"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כבר נאמר לא אחת בפסיקתנו כי מידת העונש המוטל בגין עבירות המבוצעות בנשק</w:t>
      </w:r>
      <w:r>
        <w:rPr>
          <w:b/>
          <w:bCs/>
          <w:sz w:val="24"/>
          <w:szCs w:val="24"/>
          <w:u w:val="none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מושפעת מפוטנציאל הסיכון הרב הטמון בנשק המוחזק שלא כדין ומהעברתו מיד ליד ללא פיקוח</w:t>
      </w:r>
      <w:r>
        <w:rPr>
          <w:b/>
          <w:bCs/>
          <w:sz w:val="24"/>
          <w:szCs w:val="24"/>
          <w:u w:val="none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בבוא בית המשפט לגזור את הדין בעבירה של החזקה ונשיאה של נשק עליו להתחשב בנסיבות שבהן באה לידי ביטוי החומרה המיוחדת שבעבירה</w:t>
      </w:r>
      <w:r>
        <w:rPr>
          <w:b/>
          <w:bCs/>
          <w:sz w:val="24"/>
          <w:szCs w:val="24"/>
          <w:u w:val="none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בין היתר</w:t>
      </w:r>
      <w:r>
        <w:rPr>
          <w:b/>
          <w:bCs/>
          <w:sz w:val="24"/>
          <w:szCs w:val="24"/>
          <w:u w:val="none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ייתן בית המשפט דעתו על סוג הנשק המוחזק שלא כדין</w:t>
      </w:r>
      <w:r>
        <w:rPr>
          <w:b/>
          <w:bCs/>
          <w:sz w:val="24"/>
          <w:szCs w:val="24"/>
          <w:u w:val="none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על כמותו</w:t>
      </w:r>
      <w:r>
        <w:rPr>
          <w:b/>
          <w:bCs/>
          <w:sz w:val="24"/>
          <w:szCs w:val="24"/>
          <w:u w:val="none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על התכלית שלשמה הוא מוחזק ועל הסכנה המוחשית שיעשה בו שימוש </w:t>
      </w:r>
      <w:r>
        <w:rPr>
          <w:b/>
          <w:bCs/>
          <w:sz w:val="24"/>
          <w:szCs w:val="24"/>
          <w:u w:val="none"/>
          <w:rtl w:val="true"/>
        </w:rPr>
        <w:t>(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השוו </w:t>
      </w:r>
      <w:hyperlink r:id="rId14"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ב</w:t>
        </w:r>
        <w:r>
          <w:rPr>
            <w:rStyle w:val="Hyperlink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 xml:space="preserve">ש </w:t>
        </w:r>
        <w:r>
          <w:rPr>
            <w:rStyle w:val="Hyperlink"/>
            <w:b/>
            <w:bCs/>
            <w:sz w:val="24"/>
            <w:szCs w:val="24"/>
          </w:rPr>
          <w:t>625/82</w:t>
        </w:r>
      </w:hyperlink>
      <w:r>
        <w:rPr>
          <w:b/>
          <w:bCs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מחמוד נ</w:t>
      </w:r>
      <w:r>
        <w:rPr>
          <w:b/>
          <w:bCs/>
          <w:sz w:val="24"/>
          <w:szCs w:val="24"/>
          <w:u w:val="none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מדינת ישראל </w:t>
      </w:r>
      <w:r>
        <w:rPr>
          <w:b/>
          <w:bCs/>
          <w:sz w:val="24"/>
          <w:szCs w:val="24"/>
          <w:u w:val="none"/>
          <w:rtl w:val="true"/>
        </w:rPr>
        <w:t>[</w:t>
      </w:r>
      <w:r>
        <w:rPr>
          <w:b/>
          <w:bCs/>
          <w:sz w:val="24"/>
          <w:szCs w:val="24"/>
          <w:u w:val="none"/>
        </w:rPr>
        <w:t>1</w:t>
      </w:r>
      <w:r>
        <w:rPr>
          <w:b/>
          <w:bCs/>
          <w:sz w:val="24"/>
          <w:szCs w:val="24"/>
          <w:u w:val="none"/>
          <w:rtl w:val="true"/>
        </w:rPr>
        <w:t xml:space="preserve">]).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כאשר מדובר בנשק שעל פי טיבו אינו מיועד להגנה עצמית</w:t>
      </w:r>
      <w:r>
        <w:rPr>
          <w:b/>
          <w:bCs/>
          <w:sz w:val="24"/>
          <w:szCs w:val="24"/>
          <w:u w:val="none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וכל כולו נשק התקפי רב עוצמה אשר השימוש בו יכול להביא להרג ללא הבחנה</w:t>
      </w:r>
      <w:r>
        <w:rPr>
          <w:b/>
          <w:bCs/>
          <w:sz w:val="24"/>
          <w:szCs w:val="24"/>
          <w:u w:val="none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יש בעבירת ההחזקה והנשיאה של אותו נשק חומרה מיוחדת</w:t>
      </w:r>
      <w:r>
        <w:rPr>
          <w:b/>
          <w:bCs/>
          <w:sz w:val="24"/>
          <w:szCs w:val="24"/>
          <w:u w:val="none"/>
          <w:rtl w:val="true"/>
        </w:rPr>
        <w:t xml:space="preserve">"...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בימים אלה</w:t>
      </w:r>
      <w:r>
        <w:rPr>
          <w:b/>
          <w:bCs/>
          <w:sz w:val="24"/>
          <w:szCs w:val="24"/>
          <w:u w:val="none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כאשר המציאות רוויה מעשי אלימות</w:t>
      </w:r>
      <w:r>
        <w:rPr>
          <w:b/>
          <w:bCs/>
          <w:sz w:val="24"/>
          <w:szCs w:val="24"/>
          <w:u w:val="none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פעולות חבלה וחשש מפני טרור הן בידי גורמים עוינים הן בידי גורמים קיצוניים חדורי מוטיבציה אידיאולוגית</w:t>
      </w:r>
      <w:r>
        <w:rPr>
          <w:b/>
          <w:bCs/>
          <w:sz w:val="24"/>
          <w:szCs w:val="24"/>
          <w:u w:val="none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יש לנהוג בחומרה מיוחדת בנושאי נשק בעל אופי התקפי כדי למנוע התדרדרות של המצב הרגיש</w:t>
      </w:r>
      <w:r>
        <w:rPr>
          <w:b/>
          <w:bCs/>
          <w:sz w:val="24"/>
          <w:szCs w:val="24"/>
          <w:u w:val="none"/>
          <w:rtl w:val="true"/>
        </w:rPr>
        <w:t xml:space="preserve">...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מן הראוי שיהיה בעונש כדי להרתיע מנפיצות התופעה העבריינית של החזקת נשק חם מסוגים שונים</w:t>
      </w:r>
      <w:r>
        <w:rPr>
          <w:b/>
          <w:bCs/>
          <w:sz w:val="24"/>
          <w:szCs w:val="24"/>
          <w:u w:val="none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נשיאתו והשימוש בו</w:t>
      </w:r>
      <w:r>
        <w:rPr>
          <w:b/>
          <w:bCs/>
          <w:sz w:val="24"/>
          <w:szCs w:val="24"/>
          <w:u w:val="none"/>
          <w:rtl w:val="true"/>
        </w:rPr>
        <w:t xml:space="preserve">....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המציאות השוררת היום בארץ</w:t>
      </w:r>
      <w:r>
        <w:rPr>
          <w:b/>
          <w:bCs/>
          <w:sz w:val="24"/>
          <w:szCs w:val="24"/>
          <w:u w:val="none"/>
          <w:rtl w:val="true"/>
        </w:rPr>
        <w:t xml:space="preserve">-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זמינותו של נשק חם ורב עוצמה שיש עמו פוטנציאל להסלמה באלימות העבריינית והאידיאולוגית כאחד</w:t>
      </w:r>
      <w:r>
        <w:rPr>
          <w:b/>
          <w:bCs/>
          <w:sz w:val="24"/>
          <w:szCs w:val="24"/>
          <w:u w:val="none"/>
          <w:rtl w:val="true"/>
        </w:rPr>
        <w:t xml:space="preserve">-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מחייבת מתן ביטוי עונשי הולם והחמרה ברמת הענישה</w:t>
      </w:r>
      <w:r>
        <w:rPr>
          <w:b/>
          <w:bCs/>
          <w:sz w:val="24"/>
          <w:szCs w:val="24"/>
          <w:u w:val="none"/>
          <w:rtl w:val="true"/>
        </w:rPr>
        <w:t>"</w:t>
      </w:r>
      <w:r>
        <w:rPr>
          <w:sz w:val="24"/>
          <w:szCs w:val="24"/>
          <w:u w:val="none"/>
          <w:rtl w:val="true"/>
        </w:rPr>
        <w:t xml:space="preserve"> (</w:t>
      </w:r>
      <w:hyperlink r:id="rId15">
        <w:r>
          <w:rPr>
            <w:rStyle w:val="Hyperlink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sz w:val="24"/>
            <w:szCs w:val="24"/>
          </w:rPr>
          <w:t>1332/04</w:t>
        </w:r>
      </w:hyperlink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Cs w:val="24"/>
          <w:u w:val="none"/>
        </w:rPr>
        <w:t>1530/04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מ</w:t>
      </w:r>
      <w:r>
        <w:rPr>
          <w:b/>
          <w:bCs/>
          <w:sz w:val="24"/>
          <w:szCs w:val="24"/>
          <w:u w:val="none"/>
          <w:rtl w:val="true"/>
        </w:rPr>
        <w:t>"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י נ</w:t>
      </w:r>
      <w:r>
        <w:rPr>
          <w:b/>
          <w:bCs/>
          <w:sz w:val="24"/>
          <w:szCs w:val="24"/>
          <w:u w:val="none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יצחק פס ומתתיהו שבו </w:t>
      </w:r>
      <w:r>
        <w:rPr>
          <w:sz w:val="24"/>
          <w:szCs w:val="24"/>
          <w:u w:val="none"/>
          <w:rtl w:val="true"/>
        </w:rPr>
        <w:t>(</w:t>
      </w:r>
      <w:r>
        <w:rPr>
          <w:sz w:val="24"/>
          <w:sz w:val="24"/>
          <w:szCs w:val="24"/>
          <w:u w:val="none"/>
          <w:rtl w:val="true"/>
        </w:rPr>
        <w:t>לא פורסם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 xml:space="preserve">ניתן ביום </w:t>
      </w:r>
      <w:r>
        <w:rPr>
          <w:sz w:val="24"/>
          <w:szCs w:val="24"/>
          <w:u w:val="none"/>
        </w:rPr>
        <w:t>19.4.04</w:t>
      </w:r>
      <w:r>
        <w:rPr>
          <w:sz w:val="24"/>
          <w:szCs w:val="24"/>
          <w:u w:val="none"/>
          <w:rtl w:val="true"/>
        </w:rPr>
        <w:t xml:space="preserve">), </w:t>
      </w:r>
      <w:r>
        <w:rPr>
          <w:sz w:val="24"/>
          <w:sz w:val="24"/>
          <w:szCs w:val="24"/>
          <w:u w:val="none"/>
          <w:rtl w:val="true"/>
        </w:rPr>
        <w:t>עמ</w:t>
      </w:r>
      <w:r>
        <w:rPr>
          <w:sz w:val="24"/>
          <w:szCs w:val="24"/>
          <w:u w:val="none"/>
          <w:rtl w:val="true"/>
        </w:rPr>
        <w:t xml:space="preserve">' </w:t>
      </w:r>
      <w:r>
        <w:rPr>
          <w:sz w:val="24"/>
          <w:szCs w:val="24"/>
          <w:u w:val="none"/>
        </w:rPr>
        <w:t>3-5</w:t>
      </w:r>
      <w:r>
        <w:rPr>
          <w:sz w:val="24"/>
          <w:szCs w:val="24"/>
          <w:u w:val="none"/>
          <w:rtl w:val="true"/>
        </w:rPr>
        <w:t>).</w:t>
      </w:r>
    </w:p>
    <w:p>
      <w:pPr>
        <w:pStyle w:val="Subtitle"/>
        <w:ind w:end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Subtitle"/>
        <w:ind w:start="386" w:end="0"/>
        <w:jc w:val="both"/>
        <w:rPr>
          <w:sz w:val="24"/>
          <w:szCs w:val="24"/>
          <w:u w:val="none"/>
        </w:rPr>
      </w:pPr>
      <w:r>
        <w:rPr>
          <w:sz w:val="24"/>
          <w:sz w:val="24"/>
          <w:szCs w:val="24"/>
          <w:u w:val="none"/>
          <w:rtl w:val="true"/>
        </w:rPr>
        <w:t>בכך לא בא הקץ לאלימות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מעשה גורר מעשה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 xml:space="preserve">אחיו של אחד מהמתלוננים תר אחר נאשם </w:t>
      </w:r>
      <w:r>
        <w:rPr>
          <w:sz w:val="24"/>
          <w:szCs w:val="24"/>
          <w:u w:val="none"/>
        </w:rPr>
        <w:t>1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וביקש לנקום את נקמת השפלתו של אחיו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כך הורחב מעגל האלימות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שוב נורו יריות בטבורה של עיר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שוב הועמדו בסכנת חיים אנשים חפים מפשע ושלומו של הציבור הופר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 xml:space="preserve">נאשם </w:t>
      </w:r>
      <w:r>
        <w:rPr>
          <w:sz w:val="24"/>
          <w:szCs w:val="24"/>
          <w:u w:val="none"/>
        </w:rPr>
        <w:t>1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נפגע באופן ממשי ועד היום סובל מפציעותיו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מעגל האלימות חייב להיגדע באיבו ועל בתי המשפט להרים את תרומתם ולהעביר מסר ברור ומשמעותי למען יחכוך כל אדם בדעתו עובר לשימוש באלימות כאמצעי לתקשורת בין אישית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וכל שכן תוך שימוש בכלי נשק</w:t>
      </w:r>
      <w:r>
        <w:rPr>
          <w:sz w:val="24"/>
          <w:szCs w:val="24"/>
          <w:u w:val="none"/>
          <w:rtl w:val="true"/>
        </w:rPr>
        <w:t xml:space="preserve">. </w:t>
      </w:r>
    </w:p>
    <w:p>
      <w:pPr>
        <w:pStyle w:val="Subtitle"/>
        <w:ind w:end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Subtitle"/>
        <w:ind w:start="386" w:end="0"/>
        <w:jc w:val="both"/>
        <w:rPr>
          <w:sz w:val="24"/>
          <w:szCs w:val="24"/>
          <w:u w:val="none"/>
        </w:rPr>
      </w:pPr>
      <w:r>
        <w:rPr>
          <w:sz w:val="24"/>
          <w:sz w:val="24"/>
          <w:szCs w:val="24"/>
          <w:u w:val="none"/>
          <w:rtl w:val="true"/>
        </w:rPr>
        <w:t>ב</w:t>
      </w: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4"/>
          <w:szCs w:val="24"/>
          <w:u w:val="none"/>
          <w:rtl w:val="true"/>
        </w:rPr>
        <w:t xml:space="preserve">כ נאשם </w:t>
      </w:r>
      <w:r>
        <w:rPr>
          <w:sz w:val="24"/>
          <w:szCs w:val="24"/>
          <w:u w:val="none"/>
        </w:rPr>
        <w:t>1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הטילה יהבה על מניעיו של הנאשם באירוע והעלה טענות עובדתיות בהיעדר כל תמיכה ראייתית וכל שכן שלא הוסכמו במסגרת הסדר הטיעון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על כגון דא אמר בית המשפט העליון</w:t>
      </w:r>
      <w:r>
        <w:rPr>
          <w:sz w:val="24"/>
          <w:szCs w:val="24"/>
          <w:u w:val="none"/>
          <w:rtl w:val="true"/>
        </w:rPr>
        <w:t xml:space="preserve">: </w:t>
      </w:r>
    </w:p>
    <w:p>
      <w:pPr>
        <w:pStyle w:val="Normal"/>
        <w:spacing w:lineRule="auto" w:line="360"/>
        <w:ind w:start="926" w:end="72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לעניין זה ביקשנו להעיר כי מנהג חדש בא למדינה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שנאשמים מודים בכתב אישום המוגש נגדם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בין לפני תיקונו של כתב האישום ובין לאחר תיקון בו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ובטיעון לגזר הדין מבקשים הם להסתמך על ראיות שלא הובאו כלל לבית המשפט בעת הכרעת הדין ואשר עניינן באירוע העבירה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מנהג זה ראוי לשרשו מהליכי בית משפט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הודאה בעובדות המתוארות בכתב אישום פירושה הוא שאותן עובדות הן המהוות תשתית לגזר הדין שייגזר על הנאשם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אם מבקש הנאשם להוסיף ולהסתמך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בטיעון לגזר הדין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עובדות נוספות מן האירוע שלעניין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שומה עליו להסכים על כך מראש עם התביעה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ואפשר תבקש התביעה להוסיף ראיות מוסכמות נוספות משלה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ואולם באין הסכם על הבאתן של עובדות מתוך תיק המשטרה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 זה נכון וראוי להסתמך על עובדות הנסבות על האירוע נושא הדיון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עובדות שאינן מתוארות בכתב האישום ואשר בעניינן לא נעשה הסכם בין הסנגוריה לבין התביעה כך על דרך הכלל וכך בענייננו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8314/03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 עווד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 xml:space="preserve">על </w:t>
      </w:r>
      <w:r>
        <w:rPr/>
        <w:t>2005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3016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3017</w:t>
      </w:r>
      <w:r>
        <w:rPr>
          <w:rtl w:val="true"/>
        </w:rPr>
        <w:t>).</w:t>
      </w:r>
    </w:p>
    <w:p>
      <w:pPr>
        <w:pStyle w:val="Normal"/>
        <w:spacing w:lineRule="auto" w:line="360"/>
        <w:ind w:start="386" w:end="72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 xml:space="preserve">בעניינו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הוגש תסקיר מטעם שירות המבחן המעיד על דפוסי התנהגות אלימים</w:t>
      </w:r>
      <w:r>
        <w:rPr>
          <w:rtl w:val="true"/>
        </w:rPr>
        <w:t xml:space="preserve">, </w:t>
      </w:r>
      <w:r>
        <w:rPr>
          <w:rtl w:val="true"/>
        </w:rPr>
        <w:t>צרף לכך את הכחשתו לחיוניותו של טיפול ולמד על החשש מפני מסוכנותו</w:t>
      </w:r>
      <w:r>
        <w:rPr>
          <w:rtl w:val="true"/>
        </w:rPr>
        <w:t xml:space="preserve">. </w:t>
      </w:r>
      <w:r>
        <w:rPr>
          <w:rtl w:val="true"/>
        </w:rPr>
        <w:t>מה גם שלחובתו עומדות שתי הרשעות בעבירות אלימות בגינן ריצה עונש מאסר בפועל במשך שנה אך לא היה בכך די על מנת להביאו לשנות את דרכיו</w:t>
      </w:r>
      <w:r>
        <w:rPr>
          <w:rtl w:val="true"/>
        </w:rPr>
        <w:t xml:space="preserve">. </w:t>
      </w:r>
      <w:r>
        <w:rPr>
          <w:rtl w:val="true"/>
        </w:rPr>
        <w:t>לקולא נשקלה פציעתו באירוע השני בכתב האישום והשלכותיה על חייו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מכח סעיפי האישום בהם הורשע כל אחד מהנאשמים</w:t>
      </w:r>
      <w:r>
        <w:rPr>
          <w:rtl w:val="true"/>
        </w:rPr>
        <w:t xml:space="preserve">, </w:t>
      </w:r>
      <w:r>
        <w:rPr>
          <w:rtl w:val="true"/>
        </w:rPr>
        <w:t>יש לעשות הבחנה ביניהם לעניין 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72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בעת שיקולי הענישה נלקחו בחשבון הודאתם של הנאשמים</w:t>
      </w:r>
      <w:r>
        <w:rPr>
          <w:rtl w:val="true"/>
        </w:rPr>
        <w:t xml:space="preserve">, </w:t>
      </w:r>
      <w:r>
        <w:rPr>
          <w:rtl w:val="true"/>
        </w:rPr>
        <w:t>גילם הצעיר וחודשי מעצרם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לאחר ששקלתי את כל טענות הצדדים</w:t>
      </w:r>
      <w:r>
        <w:rPr>
          <w:rtl w:val="true"/>
        </w:rPr>
        <w:t xml:space="preserve">, </w:t>
      </w:r>
      <w:r>
        <w:rPr>
          <w:rtl w:val="true"/>
        </w:rPr>
        <w:t>בשים לב לחומרת העבירה</w:t>
      </w:r>
      <w:r>
        <w:rPr>
          <w:rtl w:val="true"/>
        </w:rPr>
        <w:t xml:space="preserve">, </w:t>
      </w:r>
      <w:r>
        <w:rPr>
          <w:rtl w:val="true"/>
        </w:rPr>
        <w:t>לגילם של הנאשמים ולעקרון אחידות הענישה</w:t>
      </w:r>
      <w:r>
        <w:rPr>
          <w:rtl w:val="true"/>
        </w:rPr>
        <w:t xml:space="preserve">, </w:t>
      </w:r>
      <w:r>
        <w:rPr>
          <w:rtl w:val="true"/>
        </w:rPr>
        <w:t>הריני גוזרת על הנאשמים את העונשים 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i/>
          <w:i/>
          <w:iCs/>
        </w:rPr>
      </w:pPr>
      <w:r>
        <w:rPr>
          <w:b/>
          <w:b/>
          <w:bCs/>
          <w:u w:val="single"/>
          <w:rtl w:val="true"/>
        </w:rPr>
        <w:t xml:space="preserve">נאשם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66" w:leader="none"/>
        </w:tabs>
        <w:spacing w:lineRule="auto" w:line="360"/>
        <w:ind w:hanging="360" w:start="1466" w:end="0"/>
        <w:jc w:val="both"/>
        <w:rPr/>
      </w:pPr>
      <w:r>
        <w:rPr>
          <w:rtl w:val="true"/>
        </w:rPr>
        <w:t xml:space="preserve">שנתיים מאסר בפועל בניכוי תקופת מעצרו מיום </w:t>
      </w:r>
      <w:r>
        <w:rPr/>
        <w:t>25.9.10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66" w:leader="none"/>
        </w:tabs>
        <w:spacing w:lineRule="auto" w:line="360"/>
        <w:ind w:hanging="360" w:start="1466" w:end="0"/>
        <w:jc w:val="both"/>
        <w:rPr/>
      </w:pPr>
      <w:r>
        <w:rPr>
          <w:rtl w:val="true"/>
        </w:rPr>
        <w:t xml:space="preserve">שנת מאסר על תנאי והתנאי הוא שבמשך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מהכלא לא יעבור עבירות אלימות מסוג פשע ו</w:t>
      </w:r>
      <w:r>
        <w:rPr>
          <w:rtl w:val="true"/>
        </w:rPr>
        <w:t>/</w:t>
      </w:r>
      <w:r>
        <w:rPr>
          <w:rtl w:val="true"/>
        </w:rPr>
        <w:t>או עוון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i/>
          <w:i/>
          <w:iCs/>
        </w:rPr>
      </w:pPr>
      <w:r>
        <w:rPr>
          <w:b/>
          <w:b/>
          <w:bCs/>
          <w:u w:val="single"/>
          <w:rtl w:val="true"/>
        </w:rPr>
        <w:t xml:space="preserve">נאשם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466" w:leader="none"/>
        </w:tabs>
        <w:spacing w:lineRule="auto" w:line="360"/>
        <w:ind w:hanging="360" w:start="1466" w:end="0"/>
        <w:jc w:val="both"/>
        <w:rPr/>
      </w:pPr>
      <w:r>
        <w:rPr>
          <w:rtl w:val="true"/>
        </w:rPr>
        <w:t xml:space="preserve">שנת מאסר בפועל בניכוי תקופת מעצרו מיום </w:t>
      </w:r>
      <w:r>
        <w:rPr/>
        <w:t>10.10.10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466" w:leader="none"/>
        </w:tabs>
        <w:spacing w:lineRule="auto" w:line="360"/>
        <w:ind w:hanging="360" w:start="1466" w:end="0"/>
        <w:jc w:val="both"/>
        <w:rPr/>
      </w:pPr>
      <w:r>
        <w:rPr>
          <w:rtl w:val="true"/>
        </w:rPr>
        <w:t xml:space="preserve">שנת מאסר על תנאי והתנאי הוא שבמשך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מהכלא לא יעבור עבירות אלימות מסוג פשע ו</w:t>
      </w:r>
      <w:r>
        <w:rPr>
          <w:rtl w:val="true"/>
        </w:rPr>
        <w:t>/</w:t>
      </w:r>
      <w:r>
        <w:rPr>
          <w:rtl w:val="true"/>
        </w:rPr>
        <w:t>או עוון</w:t>
      </w:r>
      <w:r>
        <w:rPr>
          <w:rtl w:val="true"/>
        </w:rPr>
        <w:t>.</w:t>
      </w:r>
    </w:p>
    <w:p>
      <w:pPr>
        <w:pStyle w:val="Subtitle"/>
        <w:ind w:end="0"/>
        <w:jc w:val="both"/>
        <w:rPr>
          <w:rFonts w:ascii="David" w:hAnsi="David" w:cs="David"/>
          <w:sz w:val="24"/>
          <w:szCs w:val="24"/>
          <w:u w:val="none"/>
        </w:rPr>
      </w:pPr>
      <w:r>
        <w:rPr>
          <w:rFonts w:cs="David" w:ascii="David" w:hAnsi="David"/>
          <w:sz w:val="24"/>
          <w:szCs w:val="24"/>
          <w:u w:val="none"/>
          <w:rtl w:val="true"/>
        </w:rPr>
      </w:r>
    </w:p>
    <w:p>
      <w:pPr>
        <w:pStyle w:val="Subtitle"/>
        <w:ind w:end="0"/>
        <w:jc w:val="both"/>
        <w:rPr>
          <w:rFonts w:ascii="David" w:hAnsi="David" w:cs="David"/>
          <w:b/>
          <w:bCs/>
          <w:sz w:val="24"/>
          <w:szCs w:val="24"/>
          <w:u w:val="non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none"/>
          <w:rtl w:val="true"/>
        </w:rPr>
        <w:t xml:space="preserve">זכות ערעור תוך </w:t>
      </w:r>
      <w:r>
        <w:rPr>
          <w:rFonts w:cs="David" w:ascii="David" w:hAnsi="David"/>
          <w:b/>
          <w:bCs/>
          <w:sz w:val="24"/>
          <w:szCs w:val="24"/>
          <w:u w:val="none"/>
        </w:rPr>
        <w:t>45</w:t>
      </w:r>
      <w:r>
        <w:rPr>
          <w:rFonts w:cs="David" w:ascii="David" w:hAnsi="David"/>
          <w:b/>
          <w:bCs/>
          <w:sz w:val="24"/>
          <w:szCs w:val="24"/>
          <w:u w:val="none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none"/>
          <w:rtl w:val="true"/>
        </w:rPr>
        <w:t>יום</w:t>
      </w:r>
      <w:r>
        <w:rPr>
          <w:rFonts w:cs="David" w:ascii="David" w:hAnsi="David"/>
          <w:b/>
          <w:bCs/>
          <w:sz w:val="24"/>
          <w:szCs w:val="24"/>
          <w:u w:val="none"/>
          <w:rtl w:val="true"/>
        </w:rPr>
        <w:t xml:space="preserve">. </w:t>
      </w:r>
      <w:r>
        <w:rPr>
          <w:rFonts w:cs="David" w:ascii="David" w:hAnsi="David"/>
          <w:b/>
          <w:bCs/>
          <w:sz w:val="24"/>
          <w:szCs w:val="24"/>
          <w:u w:val="none"/>
          <w:rtl w:val="true"/>
        </w:rPr>
        <w:t xml:space="preserve"> </w:t>
      </w:r>
    </w:p>
    <w:p>
      <w:pPr>
        <w:pStyle w:val="Subtitle"/>
        <w:ind w:end="0"/>
        <w:jc w:val="both"/>
        <w:rPr>
          <w:rFonts w:ascii="David" w:hAnsi="David" w:cs="David"/>
          <w:sz w:val="6"/>
          <w:szCs w:val="6"/>
          <w:u w:val="none"/>
        </w:rPr>
      </w:pPr>
      <w:r>
        <w:rPr>
          <w:rFonts w:cs="David" w:ascii="David" w:hAnsi="David"/>
          <w:sz w:val="6"/>
          <w:szCs w:val="6"/>
          <w:u w:val="none"/>
          <w:rtl w:val="true"/>
        </w:rPr>
        <w:t>&lt;</w:t>
      </w:r>
      <w:r>
        <w:rPr>
          <w:rFonts w:cs="David" w:ascii="David" w:hAnsi="David"/>
          <w:sz w:val="6"/>
          <w:szCs w:val="6"/>
          <w:u w:val="none"/>
        </w:rPr>
        <w:t>#5#</w:t>
      </w:r>
      <w:r>
        <w:rPr>
          <w:rFonts w:cs="David" w:ascii="David" w:hAnsi="David"/>
          <w:sz w:val="6"/>
          <w:szCs w:val="6"/>
          <w:u w:val="none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sz w:val="6"/>
          <w:szCs w:val="6"/>
          <w:u w:val="none"/>
        </w:rPr>
      </w:pPr>
      <w:r>
        <w:rPr>
          <w:rFonts w:cs="David"/>
          <w:sz w:val="6"/>
          <w:szCs w:val="6"/>
          <w:u w:val="none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אב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15/08/2011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. 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צילה צפת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צילה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צפת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אילנית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רוימי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29651-10-10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נוראדין אלאסד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b w:val="false"/>
        <w:bCs w:val="false"/>
        <w:color w:val="000000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>
        <w:rFonts w:ascii="Times New Roman" w:hAnsi="Times New Roman" w:eastAsia="Times New Roman" w:cs="David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>
        <w:rFonts w:ascii="Times New Roman" w:hAnsi="Times New Roman" w:eastAsia="Times New Roman" w:cs="David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color w:val="000000"/>
    </w:rPr>
  </w:style>
  <w:style w:type="character" w:styleId="WW8Num2z0">
    <w:name w:val="WW8Num2z0"/>
    <w:qFormat/>
    <w:rPr>
      <w:rFonts w:ascii="Times New Roman" w:hAnsi="Times New Roman" w:eastAsia="Times New Roman" w:cs="David"/>
    </w:rPr>
  </w:style>
  <w:style w:type="character" w:styleId="WW8Num3z0">
    <w:name w:val="WW8Num3z0"/>
    <w:qFormat/>
    <w:rPr>
      <w:rFonts w:ascii="Times New Roman" w:hAnsi="Times New Roman" w:eastAsia="Times New Roman" w:cs="David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Subtitle">
    <w:name w:val="Subtitle"/>
    <w:basedOn w:val="Normal"/>
    <w:next w:val="BodyText"/>
    <w:qFormat/>
    <w:pPr>
      <w:spacing w:lineRule="auto" w:line="360"/>
      <w:jc w:val="both"/>
    </w:pPr>
    <w:rPr>
      <w:rFonts w:ascii="Times New Roman" w:hAnsi="Times New Roman" w:eastAsia="Times New Roman" w:cs="Times New Roman"/>
      <w:sz w:val="28"/>
      <w:szCs w:val="28"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40a" TargetMode="External"/><Relationship Id="rId6" Type="http://schemas.openxmlformats.org/officeDocument/2006/relationships/hyperlink" Target="http://www.nevo.co.il/law/70301/379" TargetMode="External"/><Relationship Id="rId7" Type="http://schemas.openxmlformats.org/officeDocument/2006/relationships/hyperlink" Target="http://www.nevo.co.il/law/70301/382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92" TargetMode="External"/><Relationship Id="rId11" Type="http://schemas.openxmlformats.org/officeDocument/2006/relationships/hyperlink" Target="http://www.nevo.co.il/law/70301/379;382.a" TargetMode="External"/><Relationship Id="rId12" Type="http://schemas.openxmlformats.org/officeDocument/2006/relationships/hyperlink" Target="http://www.nevo.co.il/law/70301/340a" TargetMode="External"/><Relationship Id="rId13" Type="http://schemas.openxmlformats.org/officeDocument/2006/relationships/hyperlink" Target="http://www.nevo.co.il/case/5887664" TargetMode="External"/><Relationship Id="rId14" Type="http://schemas.openxmlformats.org/officeDocument/2006/relationships/hyperlink" Target="http://www.nevo.co.il/case/17929065" TargetMode="External"/><Relationship Id="rId15" Type="http://schemas.openxmlformats.org/officeDocument/2006/relationships/hyperlink" Target="http://www.nevo.co.il/case/5762686" TargetMode="External"/><Relationship Id="rId16" Type="http://schemas.openxmlformats.org/officeDocument/2006/relationships/hyperlink" Target="http://www.nevo.co.il/case/5731188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2016-05-10T14:59:00Z</dcterms:created>
  <dc:creator> </dc:creator>
  <dc:description/>
  <cp:keywords/>
  <dc:language>en-IL</dc:language>
  <cp:lastModifiedBy>yafit</cp:lastModifiedBy>
  <dcterms:modified xsi:type="dcterms:W3CDTF">2016-05-10T14:59:00Z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נוראדין אלאסד;שהאבלדי אלאסד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5887664;5762686;5731188</vt:lpwstr>
  </property>
  <property fmtid="{D5CDD505-2E9C-101B-9397-08002B2CF9AE}" pid="9" name="CITY">
    <vt:lpwstr>ב"ש</vt:lpwstr>
  </property>
  <property fmtid="{D5CDD505-2E9C-101B-9397-08002B2CF9AE}" pid="10" name="DATE">
    <vt:lpwstr>20110815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צילה צפת</vt:lpwstr>
  </property>
  <property fmtid="{D5CDD505-2E9C-101B-9397-08002B2CF9AE}" pid="14" name="LAWLISTTMP1">
    <vt:lpwstr>70301/144.b;192;379;382.a;340a</vt:lpwstr>
  </property>
  <property fmtid="{D5CDD505-2E9C-101B-9397-08002B2CF9AE}" pid="15" name="LAWYER">
    <vt:lpwstr>ענבל חיים;לוין;אדיר בן לולו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29651</vt:lpwstr>
  </property>
  <property fmtid="{D5CDD505-2E9C-101B-9397-08002B2CF9AE}" pid="22" name="NEWPARTB">
    <vt:lpwstr>10</vt:lpwstr>
  </property>
  <property fmtid="{D5CDD505-2E9C-101B-9397-08002B2CF9AE}" pid="23" name="NEWPARTC">
    <vt:lpwstr>10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390020110815</vt:lpwstr>
  </property>
  <property fmtid="{D5CDD505-2E9C-101B-9397-08002B2CF9AE}" pid="34" name="TYPE_N_DATE">
    <vt:lpwstr>39020110815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