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29839-07-11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צוברה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71"/>
        <w:gridCol w:w="3676"/>
      </w:tblGrid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ליאורה ברודי</w:t>
            </w:r>
          </w:p>
        </w:tc>
        <w:tc>
          <w:tcPr>
            <w:tcW w:w="1071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1" w:name="FirstAppellant"/>
      <w:bookmarkStart w:id="2" w:name="FirstAppellant"/>
      <w:bookmarkEnd w:id="2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אלעד צוברה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אלכסנדר אורזלין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Style w:val="LineNumber"/>
          <w:rFonts w:ascii="Arial" w:hAnsi="Arial" w:cs="Arial"/>
          <w:sz w:val="6"/>
          <w:szCs w:val="6"/>
        </w:rPr>
      </w:pPr>
      <w:r>
        <w:rPr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אלון טנקג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שילה דורפמן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באמצעות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275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338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rtl w:val="true"/>
        </w:rPr>
      </w:r>
    </w:p>
    <w:p>
      <w:pPr>
        <w:pStyle w:val="Normal"/>
        <w:ind w:end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rtl w:val="true"/>
        </w:rPr>
      </w:r>
    </w:p>
    <w:p>
      <w:pPr>
        <w:pStyle w:val="Normal"/>
        <w:ind w:end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rtl w:val="true"/>
        </w:rPr>
      </w:r>
    </w:p>
    <w:p>
      <w:pPr>
        <w:pStyle w:val="Normal"/>
        <w:ind w:end="0"/>
        <w:jc w:val="center"/>
        <w:rPr>
          <w:b/>
          <w:bCs/>
          <w:sz w:val="30"/>
          <w:szCs w:val="30"/>
          <w:u w:val="single"/>
        </w:rPr>
      </w:pPr>
      <w:bookmarkStart w:id="7" w:name="PsakDin"/>
      <w:bookmarkEnd w:id="7"/>
      <w:r>
        <w:rPr>
          <w:b/>
          <w:b/>
          <w:bCs/>
          <w:sz w:val="30"/>
          <w:sz w:val="30"/>
          <w:szCs w:val="30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b/>
          <w:bCs/>
          <w:sz w:val="28"/>
          <w:szCs w:val="28"/>
          <w:u w:val="single"/>
          <w:rtl w:val="true"/>
        </w:rPr>
        <w:t>(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בעניינו של הנאשם 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  <w:rtl w:val="true"/>
        </w:rPr>
        <w:t xml:space="preserve">) 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") </w:t>
      </w:r>
      <w:r>
        <w:rPr>
          <w:rtl w:val="true"/>
        </w:rPr>
        <w:t>הורשע על פי הודייתו בעבירות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 העונשין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מעשה פזיזות ורשלנות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 והפרעה לשוטר במילוי תפקידו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הודייתו של הנאשם והרשעתו בדין היא במסגרת הסדר טיעון</w:t>
      </w:r>
      <w:r>
        <w:rPr>
          <w:rtl w:val="true"/>
        </w:rPr>
        <w:t xml:space="preserve">, </w:t>
      </w:r>
      <w:r>
        <w:rPr>
          <w:rtl w:val="true"/>
        </w:rPr>
        <w:t>שהושג בהליך גישור</w:t>
      </w:r>
      <w:r>
        <w:rPr>
          <w:rtl w:val="true"/>
        </w:rPr>
        <w:t xml:space="preserve">, </w:t>
      </w:r>
      <w:r>
        <w:rPr>
          <w:rtl w:val="true"/>
        </w:rPr>
        <w:t>שלפיו תוקן כתב האישום</w:t>
      </w:r>
      <w:r>
        <w:rPr>
          <w:rtl w:val="true"/>
        </w:rPr>
        <w:t xml:space="preserve">, </w:t>
      </w:r>
      <w:r>
        <w:rPr>
          <w:rtl w:val="true"/>
        </w:rPr>
        <w:t>והנאשם הודה והורשע כאמור</w:t>
      </w:r>
      <w:r>
        <w:rPr>
          <w:rtl w:val="true"/>
        </w:rPr>
        <w:t xml:space="preserve">. </w:t>
      </w:r>
      <w:r>
        <w:rPr>
          <w:rtl w:val="true"/>
        </w:rPr>
        <w:t xml:space="preserve">אשר לעונש </w:t>
      </w:r>
      <w:r>
        <w:rPr>
          <w:rtl w:val="true"/>
        </w:rPr>
        <w:t>–</w:t>
      </w:r>
      <w:r>
        <w:rPr>
          <w:rtl w:val="true"/>
        </w:rPr>
        <w:t xml:space="preserve"> המאשימה הודיעה כי תעתור להטיל על הנאשם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כעונש ראוי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פסילת רישיון נהיגה וקנס כספי</w:t>
      </w:r>
      <w:r>
        <w:rPr>
          <w:rtl w:val="true"/>
        </w:rPr>
        <w:t xml:space="preserve">. </w:t>
      </w:r>
      <w:r>
        <w:rPr>
          <w:rtl w:val="true"/>
        </w:rPr>
        <w:t xml:space="preserve">באי כוח הנאשם יוכלו לטעון להטלת מאסר בפועל בן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יתר רכיבי הענישה מוסכמים</w:t>
      </w:r>
      <w:r>
        <w:rPr>
          <w:rtl w:val="true"/>
        </w:rPr>
        <w:t xml:space="preserve">, </w:t>
      </w:r>
      <w:r>
        <w:rPr>
          <w:rtl w:val="true"/>
        </w:rPr>
        <w:t>ואולם באי כוח הנאשם יוכלו לטעון לגבי גובה הקנס ואורך תקופת הפסילה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כתב האישום המתוקן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עובר ליום </w:t>
      </w:r>
      <w:r>
        <w:rPr/>
        <w:t>25.6.11</w:t>
      </w:r>
      <w:r>
        <w:rPr>
          <w:rtl w:val="true"/>
        </w:rPr>
        <w:t xml:space="preserve"> </w:t>
      </w:r>
      <w:r>
        <w:rPr>
          <w:rtl w:val="true"/>
        </w:rPr>
        <w:t xml:space="preserve">שוחחו ביניהם הנאשמים על אודות העברת מטען מנאשם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לנאשם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במועד הנ</w:t>
      </w:r>
      <w:r>
        <w:rPr>
          <w:rtl w:val="true"/>
        </w:rPr>
        <w:t>"</w:t>
      </w:r>
      <w:r>
        <w:rPr>
          <w:rtl w:val="true"/>
        </w:rPr>
        <w:t>ל הגיע הנאשם לבניין ברחובות</w:t>
      </w:r>
      <w:r>
        <w:rPr>
          <w:rtl w:val="true"/>
        </w:rPr>
        <w:t xml:space="preserve">, </w:t>
      </w:r>
      <w:r>
        <w:rPr>
          <w:rtl w:val="true"/>
        </w:rPr>
        <w:t>שם קיבל לידיו תיק ובו המטען</w:t>
      </w:r>
      <w:r>
        <w:rPr>
          <w:rtl w:val="true"/>
        </w:rPr>
        <w:t xml:space="preserve">, </w:t>
      </w:r>
      <w:r>
        <w:rPr>
          <w:rtl w:val="true"/>
        </w:rPr>
        <w:t>אותו הניח בתא המטען של הרכב בו נהג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נסע הנאשם ברחוב ויצמן בנס ציונה ועצר עקב פקק תנועה</w:t>
      </w:r>
      <w:r>
        <w:rPr>
          <w:rtl w:val="true"/>
        </w:rPr>
        <w:t xml:space="preserve">. </w:t>
      </w:r>
      <w:r>
        <w:rPr>
          <w:rtl w:val="true"/>
        </w:rPr>
        <w:t>בשלב זה רצו לעבר הרכב שלושה בלשי משטרה</w:t>
      </w:r>
      <w:r>
        <w:rPr>
          <w:rtl w:val="true"/>
        </w:rPr>
        <w:t xml:space="preserve">. </w:t>
      </w:r>
      <w:r>
        <w:rPr>
          <w:rtl w:val="true"/>
        </w:rPr>
        <w:t>הבלש ניר הניח דוקרנים מתחת לגלגלי הרכב</w:t>
      </w:r>
      <w:r>
        <w:rPr>
          <w:rtl w:val="true"/>
        </w:rPr>
        <w:t xml:space="preserve">, </w:t>
      </w:r>
      <w:r>
        <w:rPr>
          <w:rtl w:val="true"/>
        </w:rPr>
        <w:t>והבלש פרבר פתח את דלת הנהג ואחז בחולצתו של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משהבחין הנאשם בבלשים שהתקרבו לרכבו</w:t>
      </w:r>
      <w:r>
        <w:rPr>
          <w:rtl w:val="true"/>
        </w:rPr>
        <w:t xml:space="preserve">, </w:t>
      </w:r>
      <w:r>
        <w:rPr>
          <w:rtl w:val="true"/>
        </w:rPr>
        <w:t>לחץ על דוושת הגז</w:t>
      </w:r>
      <w:r>
        <w:rPr>
          <w:rtl w:val="true"/>
        </w:rPr>
        <w:t xml:space="preserve">, </w:t>
      </w:r>
      <w:r>
        <w:rPr>
          <w:rtl w:val="true"/>
        </w:rPr>
        <w:t>הסיט את ההגה והחל במנוסה עם הרכב</w:t>
      </w:r>
      <w:r>
        <w:rPr>
          <w:rtl w:val="true"/>
        </w:rPr>
        <w:t xml:space="preserve">, </w:t>
      </w:r>
      <w:r>
        <w:rPr>
          <w:rtl w:val="true"/>
        </w:rPr>
        <w:t>תוך התעלמות מקריאות הבלשים לעצור</w:t>
      </w:r>
      <w:r>
        <w:rPr>
          <w:rtl w:val="true"/>
        </w:rPr>
        <w:t xml:space="preserve">, </w:t>
      </w:r>
      <w:r>
        <w:rPr>
          <w:rtl w:val="true"/>
        </w:rPr>
        <w:t>במטרה להימלט מפניהם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במהלך מנוסתו עלה הנאשם עם הרכב על אי תנועה</w:t>
      </w:r>
      <w:r>
        <w:rPr>
          <w:rtl w:val="true"/>
        </w:rPr>
        <w:t xml:space="preserve">, </w:t>
      </w:r>
      <w:r>
        <w:rPr>
          <w:rtl w:val="true"/>
        </w:rPr>
        <w:t>ובתוך כך נאלץ הבלש פרבר להרפות מחולצתו של הנאשם</w:t>
      </w:r>
      <w:r>
        <w:rPr>
          <w:rtl w:val="true"/>
        </w:rPr>
        <w:t xml:space="preserve">. </w:t>
      </w:r>
      <w:r>
        <w:rPr>
          <w:rtl w:val="true"/>
        </w:rPr>
        <w:t>הנאשם המשיך בנסיעה על אי התנועה</w:t>
      </w:r>
      <w:r>
        <w:rPr>
          <w:rtl w:val="true"/>
        </w:rPr>
        <w:t xml:space="preserve">, </w:t>
      </w:r>
      <w:r>
        <w:rPr>
          <w:rtl w:val="true"/>
        </w:rPr>
        <w:t>תוך עקיפת כלי רכב ופגיעה בחלקם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ירה הבלש פרבר לעבר רכבו של הנאשם</w:t>
      </w:r>
      <w:r>
        <w:rPr>
          <w:rtl w:val="true"/>
        </w:rPr>
        <w:t xml:space="preserve">, </w:t>
      </w:r>
      <w:r>
        <w:rPr>
          <w:rtl w:val="true"/>
        </w:rPr>
        <w:t>במטרה לעוצרו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תוך כדי נהיגתו של הנאשם על אי התנועה</w:t>
      </w:r>
      <w:r>
        <w:rPr>
          <w:rtl w:val="true"/>
        </w:rPr>
        <w:t xml:space="preserve">, </w:t>
      </w:r>
      <w:r>
        <w:rPr>
          <w:rtl w:val="true"/>
        </w:rPr>
        <w:t>נאלץ הבלש אמיר לזוז הצידה על מנת שלא להיפגע מהרכב</w:t>
      </w:r>
      <w:r>
        <w:rPr>
          <w:rtl w:val="true"/>
        </w:rPr>
        <w:t xml:space="preserve">. </w:t>
      </w:r>
      <w:r>
        <w:rPr>
          <w:rtl w:val="true"/>
        </w:rPr>
        <w:t>הנאשם שהמשיך בנסיעתו</w:t>
      </w:r>
      <w:r>
        <w:rPr>
          <w:rtl w:val="true"/>
        </w:rPr>
        <w:t xml:space="preserve">, </w:t>
      </w:r>
      <w:r>
        <w:rPr>
          <w:rtl w:val="true"/>
        </w:rPr>
        <w:t>לא ציית להוראה שניתנה לו לעצור</w:t>
      </w:r>
      <w:r>
        <w:rPr>
          <w:rtl w:val="true"/>
        </w:rPr>
        <w:t xml:space="preserve">, </w:t>
      </w:r>
      <w:r>
        <w:rPr>
          <w:rtl w:val="true"/>
        </w:rPr>
        <w:t>גם לאחר שבוצע ירי על ידי הבלשים לעבר גלגלי רכבו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 הנאשם לפינת שני רחובות</w:t>
      </w:r>
      <w:r>
        <w:rPr>
          <w:rtl w:val="true"/>
        </w:rPr>
        <w:t xml:space="preserve">, </w:t>
      </w:r>
      <w:r>
        <w:rPr>
          <w:rtl w:val="true"/>
        </w:rPr>
        <w:t>שם חסם רכב משטרה מוסווה את נתיב התנועה לרוחב הכביש</w:t>
      </w:r>
      <w:r>
        <w:rPr>
          <w:rtl w:val="true"/>
        </w:rPr>
        <w:t xml:space="preserve">. </w:t>
      </w:r>
      <w:r>
        <w:rPr>
          <w:rtl w:val="true"/>
        </w:rPr>
        <w:t>הנאשם סטה במהירות מנתיב נסיעתו</w:t>
      </w:r>
      <w:r>
        <w:rPr>
          <w:rtl w:val="true"/>
        </w:rPr>
        <w:t xml:space="preserve">, </w:t>
      </w:r>
      <w:r>
        <w:rPr>
          <w:rtl w:val="true"/>
        </w:rPr>
        <w:t>נכנס בנסיעה פרועה לתוך חניון בצד הדרך ויצא מצידו השני של החניון לרחוב אחר</w:t>
      </w:r>
      <w:r>
        <w:rPr>
          <w:rtl w:val="true"/>
        </w:rPr>
        <w:t xml:space="preserve">, </w:t>
      </w:r>
      <w:r>
        <w:rPr>
          <w:rtl w:val="true"/>
        </w:rPr>
        <w:t>בעוד אנשי משטרה דולקים 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כתוצאה מאופן נהיגתו הפרוע של הנאשם</w:t>
      </w:r>
      <w:r>
        <w:rPr>
          <w:rtl w:val="true"/>
        </w:rPr>
        <w:t xml:space="preserve">, </w:t>
      </w:r>
      <w:r>
        <w:rPr>
          <w:rtl w:val="true"/>
        </w:rPr>
        <w:t>הוא סטה אל נתיב הנסיעה הנגדי והתנגש עם הרכב בעץ</w:t>
      </w:r>
      <w:r>
        <w:rPr>
          <w:rtl w:val="true"/>
        </w:rPr>
        <w:t xml:space="preserve">,  </w:t>
      </w:r>
      <w:r>
        <w:rPr>
          <w:rtl w:val="true"/>
        </w:rPr>
        <w:t>ולאחר מכן יצא מהרכב</w:t>
      </w:r>
      <w:r>
        <w:rPr>
          <w:rtl w:val="true"/>
        </w:rPr>
        <w:t xml:space="preserve">, </w:t>
      </w:r>
      <w:r>
        <w:rPr>
          <w:rtl w:val="true"/>
        </w:rPr>
        <w:t>נמלט רגלית</w:t>
      </w:r>
      <w:r>
        <w:rPr>
          <w:rtl w:val="true"/>
        </w:rPr>
        <w:t xml:space="preserve">, </w:t>
      </w:r>
      <w:r>
        <w:rPr>
          <w:rtl w:val="true"/>
        </w:rPr>
        <w:t>ובסופו של דבר נתפס ונעצר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 האישום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אשר הורשע בעבירה של החזקת נשק </w:t>
      </w:r>
      <w:r>
        <w:rPr>
          <w:rtl w:val="true"/>
        </w:rPr>
        <w:t>–</w:t>
      </w:r>
      <w:r>
        <w:rPr>
          <w:rtl w:val="true"/>
        </w:rPr>
        <w:t xml:space="preserve"> העברת המטען לידי הנאשם </w:t>
      </w:r>
      <w:r>
        <w:rPr>
          <w:rtl w:val="true"/>
        </w:rPr>
        <w:t xml:space="preserve">- </w:t>
      </w:r>
      <w:r>
        <w:rPr>
          <w:rtl w:val="true"/>
        </w:rPr>
        <w:t>נדון</w:t>
      </w:r>
      <w:r>
        <w:rPr>
          <w:rtl w:val="true"/>
        </w:rPr>
        <w:t xml:space="preserve">, </w:t>
      </w:r>
      <w:r>
        <w:rPr>
          <w:rtl w:val="true"/>
        </w:rPr>
        <w:t xml:space="preserve">במסגרת הסדר טיעון למאסר בפועל למשך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 בגין תיק זה</w:t>
      </w:r>
      <w:r>
        <w:rPr>
          <w:rtl w:val="true"/>
        </w:rPr>
        <w:t xml:space="preserve">, </w:t>
      </w:r>
      <w:r>
        <w:rPr>
          <w:rtl w:val="true"/>
        </w:rPr>
        <w:t>וכן לתקופת מאסר נוספת</w:t>
      </w:r>
      <w:r>
        <w:rPr>
          <w:rtl w:val="true"/>
        </w:rPr>
        <w:t xml:space="preserve">, </w:t>
      </w:r>
      <w:r>
        <w:rPr>
          <w:rtl w:val="true"/>
        </w:rPr>
        <w:t>בגין תיק שצורף</w:t>
      </w:r>
      <w:r>
        <w:rPr>
          <w:rtl w:val="true"/>
        </w:rPr>
        <w:t xml:space="preserve">, </w:t>
      </w:r>
      <w:r>
        <w:rPr>
          <w:rtl w:val="true"/>
        </w:rPr>
        <w:t>שמתוכה הוטל עליו חודש אחד מאסר במצטבר למאסר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כן הושת עליו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קנס בסך </w:t>
      </w:r>
      <w:r>
        <w:rPr/>
        <w:t>2,500</w:t>
      </w:r>
      <w:r>
        <w:rPr>
          <w:rtl w:val="true"/>
        </w:rPr>
        <w:t xml:space="preserve"> ₪ </w:t>
      </w:r>
      <w:r>
        <w:rPr>
          <w:rtl w:val="true"/>
        </w:rPr>
        <w:t xml:space="preserve">ופסילה מלהחזיק רישיון נהיגה </w:t>
      </w:r>
      <w:r>
        <w:rPr>
          <w:rtl w:val="true"/>
        </w:rPr>
        <w:t>(</w:t>
      </w:r>
      <w:r>
        <w:rPr>
          <w:rtl w:val="true"/>
        </w:rPr>
        <w:t>הקשורה לאחד התיקים שצורפו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 xml:space="preserve">הנאשם הוא יליד שנת </w:t>
      </w:r>
      <w:r>
        <w:rPr/>
        <w:t>1984</w:t>
      </w:r>
      <w:r>
        <w:rPr>
          <w:rtl w:val="true"/>
        </w:rPr>
        <w:t xml:space="preserve">, </w:t>
      </w:r>
      <w:r>
        <w:rPr>
          <w:rtl w:val="true"/>
        </w:rPr>
        <w:t>ולו הרשעות קודמות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בעבירות אלימות וסמים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נדון למאסר בפועל בן שנה בגין עבירות סמים</w:t>
      </w:r>
      <w:r>
        <w:rPr>
          <w:rtl w:val="true"/>
        </w:rPr>
        <w:t xml:space="preserve">, </w:t>
      </w:r>
      <w:r>
        <w:rPr>
          <w:rtl w:val="true"/>
        </w:rPr>
        <w:t xml:space="preserve">ובשנת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הוא נדון למאסר לריצוי בעבודות שירות בגין עבירת הצתה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>ח שנערך על ידי העו</w:t>
      </w:r>
      <w:r>
        <w:rPr>
          <w:rtl w:val="true"/>
        </w:rPr>
        <w:t>"</w:t>
      </w:r>
      <w:r>
        <w:rPr>
          <w:rtl w:val="true"/>
        </w:rPr>
        <w:t xml:space="preserve">ס המטפלת בנאשם ובמשפחתו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עולה כי הנאשם מוכר  לרשויות הרווחה</w:t>
      </w:r>
      <w:r>
        <w:rPr>
          <w:rtl w:val="true"/>
        </w:rPr>
        <w:t xml:space="preserve">. </w:t>
      </w:r>
      <w:r>
        <w:rPr>
          <w:rtl w:val="true"/>
        </w:rPr>
        <w:t>הנאשם טופל בבעיית התמכרויות ועבריינות</w:t>
      </w:r>
      <w:r>
        <w:rPr>
          <w:rtl w:val="true"/>
        </w:rPr>
        <w:t xml:space="preserve">, </w:t>
      </w:r>
      <w:r>
        <w:rPr>
          <w:rtl w:val="true"/>
        </w:rPr>
        <w:t>והטיפול ידע עליות ומורדות</w:t>
      </w:r>
      <w:r>
        <w:rPr>
          <w:rtl w:val="true"/>
        </w:rPr>
        <w:t xml:space="preserve">. </w:t>
      </w:r>
      <w:r>
        <w:rPr>
          <w:rtl w:val="true"/>
        </w:rPr>
        <w:t>כן דווח שהנאשם ואשתו מתמודדים עם מצוקות כלכליות ומשפחתיות מורכבות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טיעוני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הצדדים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המאשימה</w:t>
      </w:r>
      <w:r>
        <w:rPr>
          <w:rtl w:val="true"/>
        </w:rPr>
        <w:t xml:space="preserve"> עתר לאמץ את ה</w:t>
      </w:r>
      <w:r>
        <w:rPr>
          <w:rtl w:val="true"/>
        </w:rPr>
        <w:t>"</w:t>
      </w:r>
      <w:r>
        <w:rPr>
          <w:rtl w:val="true"/>
        </w:rPr>
        <w:t>רף העליון</w:t>
      </w:r>
      <w:r>
        <w:rPr>
          <w:rtl w:val="true"/>
        </w:rPr>
        <w:t xml:space="preserve">" </w:t>
      </w:r>
      <w:r>
        <w:rPr>
          <w:rtl w:val="true"/>
        </w:rPr>
        <w:t>של הסדר הטיעון</w:t>
      </w:r>
      <w:r>
        <w:rPr>
          <w:rtl w:val="true"/>
        </w:rPr>
        <w:t xml:space="preserve">. </w:t>
      </w:r>
      <w:r>
        <w:rPr>
          <w:rtl w:val="true"/>
        </w:rPr>
        <w:t>בטיעוניו הסביר ב</w:t>
      </w:r>
      <w:r>
        <w:rPr>
          <w:rtl w:val="true"/>
        </w:rPr>
        <w:t>"</w:t>
      </w:r>
      <w:r>
        <w:rPr>
          <w:rtl w:val="true"/>
        </w:rPr>
        <w:t>כ המאשימה שכתב האישום תוקן ומותן בשל קושי ראייתי</w:t>
      </w:r>
      <w:r>
        <w:rPr>
          <w:rtl w:val="true"/>
        </w:rPr>
        <w:t xml:space="preserve">, </w:t>
      </w:r>
      <w:r>
        <w:rPr>
          <w:rtl w:val="true"/>
        </w:rPr>
        <w:t>המתייחס לנהיגתו של הנאשם</w:t>
      </w:r>
      <w:r>
        <w:rPr>
          <w:rtl w:val="true"/>
        </w:rPr>
        <w:t xml:space="preserve">, </w:t>
      </w:r>
      <w:r>
        <w:rPr>
          <w:rtl w:val="true"/>
        </w:rPr>
        <w:t>והדבר מצא את ביטויו הן בתיקון החלק העובדתי והן בהוראות החיקוק</w:t>
      </w:r>
      <w:r>
        <w:rPr>
          <w:rtl w:val="true"/>
        </w:rPr>
        <w:t xml:space="preserve">. </w:t>
      </w:r>
      <w:r>
        <w:rPr>
          <w:rtl w:val="true"/>
        </w:rPr>
        <w:t xml:space="preserve">אף בשים לב לתיקון כתב האישום </w:t>
      </w:r>
      <w:r>
        <w:rPr>
          <w:rtl w:val="true"/>
        </w:rPr>
        <w:t>–</w:t>
      </w:r>
      <w:r>
        <w:rPr>
          <w:rtl w:val="true"/>
        </w:rPr>
        <w:t xml:space="preserve"> כך ב</w:t>
      </w:r>
      <w:r>
        <w:rPr>
          <w:rtl w:val="true"/>
        </w:rPr>
        <w:t>"</w:t>
      </w:r>
      <w:r>
        <w:rPr>
          <w:rtl w:val="true"/>
        </w:rPr>
        <w:t xml:space="preserve">כ המאשימה </w:t>
      </w:r>
      <w:r>
        <w:rPr>
          <w:rtl w:val="true"/>
        </w:rPr>
        <w:t>–</w:t>
      </w:r>
      <w:r>
        <w:rPr>
          <w:rtl w:val="true"/>
        </w:rPr>
        <w:t xml:space="preserve"> נסיבות האירוע חמורות</w:t>
      </w:r>
      <w:r>
        <w:rPr>
          <w:rtl w:val="true"/>
        </w:rPr>
        <w:t xml:space="preserve">: </w:t>
      </w:r>
      <w:r>
        <w:rPr>
          <w:rtl w:val="true"/>
        </w:rPr>
        <w:t>הנאשם נהג בתעוזה</w:t>
      </w:r>
      <w:r>
        <w:rPr>
          <w:rtl w:val="true"/>
        </w:rPr>
        <w:t xml:space="preserve">, </w:t>
      </w:r>
      <w:r>
        <w:rPr>
          <w:rtl w:val="true"/>
        </w:rPr>
        <w:t>תוך סיכון שלום הציבור באמצעות נשק התקפי</w:t>
      </w:r>
      <w:r>
        <w:rPr>
          <w:rtl w:val="true"/>
        </w:rPr>
        <w:t xml:space="preserve">. </w:t>
      </w:r>
      <w:r>
        <w:rPr>
          <w:rtl w:val="true"/>
        </w:rPr>
        <w:t>כן הפנה בא כוח המאשימה למדיניות הפסיקה בעבירות של נשיאת נשק</w:t>
      </w:r>
      <w:r>
        <w:rPr>
          <w:rtl w:val="true"/>
        </w:rPr>
        <w:t xml:space="preserve">, </w:t>
      </w:r>
      <w:r>
        <w:rPr>
          <w:rtl w:val="true"/>
        </w:rPr>
        <w:t>ולצורך לגזור עונשים שירתיעו הן את הנאשם העומד לדין והן אחרים</w:t>
      </w:r>
      <w:r>
        <w:rPr>
          <w:rtl w:val="true"/>
        </w:rPr>
        <w:t xml:space="preserve">. </w:t>
      </w:r>
      <w:r>
        <w:rPr>
          <w:rtl w:val="true"/>
        </w:rPr>
        <w:t>לגישת בא כוח המאשימה</w:t>
      </w:r>
      <w:r>
        <w:rPr>
          <w:rtl w:val="true"/>
        </w:rPr>
        <w:t xml:space="preserve">, </w:t>
      </w:r>
      <w:r>
        <w:rPr>
          <w:rtl w:val="true"/>
        </w:rPr>
        <w:t>העונש המוצע במסגרת הסדר הטיעון נותן ביטוי הן לשיקולים לחומרה והן לשיקולים 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הפנה את בית המשפט לפסיקה</w:t>
      </w:r>
      <w:r>
        <w:rPr>
          <w:rtl w:val="true"/>
        </w:rPr>
        <w:t xml:space="preserve">, </w:t>
      </w:r>
      <w:r>
        <w:rPr>
          <w:rtl w:val="true"/>
        </w:rPr>
        <w:t>ובעיקר ל</w:t>
      </w:r>
      <w:hyperlink r:id="rId1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40122/06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ברוך זוארץ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 </w:t>
      </w:r>
      <w:r>
        <w:rPr/>
        <w:t>27.11.06</w:t>
      </w:r>
      <w:r>
        <w:rPr>
          <w:rtl w:val="true"/>
        </w:rPr>
        <w:t xml:space="preserve">), </w:t>
      </w:r>
      <w:r>
        <w:rPr>
          <w:rtl w:val="true"/>
        </w:rPr>
        <w:t xml:space="preserve">בו הורשע הנאשם בעבירה של נשיאת טיל </w:t>
      </w:r>
      <w:r>
        <w:rPr>
          <w:rtl w:val="true"/>
        </w:rPr>
        <w:t>"</w:t>
      </w:r>
      <w:r>
        <w:rPr>
          <w:rtl w:val="true"/>
        </w:rPr>
        <w:t>לאו</w:t>
      </w:r>
      <w:r>
        <w:rPr>
          <w:rtl w:val="true"/>
        </w:rPr>
        <w:t xml:space="preserve">" </w:t>
      </w:r>
      <w:r>
        <w:rPr>
          <w:rtl w:val="true"/>
        </w:rPr>
        <w:t>ותת מקלע בדרך לביצוע פעילות עבריינית</w:t>
      </w:r>
      <w:r>
        <w:rPr>
          <w:rtl w:val="true"/>
        </w:rPr>
        <w:t xml:space="preserve">, </w:t>
      </w:r>
      <w:r>
        <w:rPr>
          <w:rtl w:val="true"/>
        </w:rPr>
        <w:t>שימוש ברכב ללא רשות ומעשה פזיזות ורשלנות</w:t>
      </w:r>
      <w:r>
        <w:rPr>
          <w:rtl w:val="true"/>
        </w:rPr>
        <w:t xml:space="preserve">, </w:t>
      </w:r>
      <w:r>
        <w:rPr>
          <w:rtl w:val="true"/>
        </w:rPr>
        <w:t xml:space="preserve">ונדון לעונש של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 מאסר ולת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hyperlink r:id="rId11">
        <w:r>
          <w:rPr>
            <w:rStyle w:val="Hyperlink"/>
            <w:color w:val="0000FF"/>
            <w:u w:val="single"/>
          </w:rPr>
          <w:t>420-09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שאדי עזאם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12.4.10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שאדי עזאם</w:t>
      </w:r>
      <w:r>
        <w:rPr>
          <w:rtl w:val="true"/>
        </w:rPr>
        <w:t xml:space="preserve">"), </w:t>
      </w:r>
      <w:r>
        <w:rPr>
          <w:rtl w:val="true"/>
        </w:rPr>
        <w:t xml:space="preserve">בו הורשע הנאשם בעבירה של סחר בנשק </w:t>
      </w:r>
      <w:r>
        <w:rPr>
          <w:rtl w:val="true"/>
        </w:rPr>
        <w:t>(</w:t>
      </w:r>
      <w:r>
        <w:rPr>
          <w:rtl w:val="true"/>
        </w:rPr>
        <w:t>מטען חבלה ומערכת הפעלה אלחוטית</w:t>
      </w:r>
      <w:r>
        <w:rPr>
          <w:rtl w:val="true"/>
        </w:rPr>
        <w:t xml:space="preserve">), </w:t>
      </w:r>
      <w:r>
        <w:rPr>
          <w:rtl w:val="true"/>
        </w:rPr>
        <w:t xml:space="preserve">ונדון לעונש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וחצי שנות 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הנאשם</w:t>
      </w:r>
      <w:r>
        <w:rPr>
          <w:rtl w:val="true"/>
        </w:rPr>
        <w:t xml:space="preserve"> עתרו לאמץ את ה</w:t>
      </w:r>
      <w:r>
        <w:rPr>
          <w:rtl w:val="true"/>
        </w:rPr>
        <w:t>"</w:t>
      </w:r>
      <w:r>
        <w:rPr>
          <w:rtl w:val="true"/>
        </w:rPr>
        <w:t>רף התחתון</w:t>
      </w:r>
      <w:r>
        <w:rPr>
          <w:rtl w:val="true"/>
        </w:rPr>
        <w:t xml:space="preserve">" </w:t>
      </w:r>
      <w:r>
        <w:rPr>
          <w:rtl w:val="true"/>
        </w:rPr>
        <w:t>של הסדר הטיעון</w:t>
      </w:r>
      <w:r>
        <w:rPr>
          <w:rtl w:val="true"/>
        </w:rPr>
        <w:t xml:space="preserve">, </w:t>
      </w:r>
      <w:r>
        <w:rPr>
          <w:rtl w:val="true"/>
        </w:rPr>
        <w:t>בהדגישם את הקושי הראייתי בתיק</w:t>
      </w:r>
      <w:r>
        <w:rPr>
          <w:rtl w:val="true"/>
        </w:rPr>
        <w:t xml:space="preserve">, </w:t>
      </w:r>
      <w:r>
        <w:rPr>
          <w:rtl w:val="true"/>
        </w:rPr>
        <w:t>שהביא לתיקון כתב האישום ומיתונו</w:t>
      </w:r>
      <w:r>
        <w:rPr>
          <w:rtl w:val="true"/>
        </w:rPr>
        <w:t xml:space="preserve">. </w:t>
      </w:r>
      <w:r>
        <w:rPr>
          <w:rtl w:val="true"/>
        </w:rPr>
        <w:t>הנאשם הודה בהזדמנות הראשונה</w:t>
      </w:r>
      <w:r>
        <w:rPr>
          <w:rtl w:val="true"/>
        </w:rPr>
        <w:t xml:space="preserve">, </w:t>
      </w:r>
      <w:r>
        <w:rPr>
          <w:rtl w:val="true"/>
        </w:rPr>
        <w:t>נטל אחריות למעשיו</w:t>
      </w:r>
      <w:r>
        <w:rPr>
          <w:rtl w:val="true"/>
        </w:rPr>
        <w:t xml:space="preserve">, </w:t>
      </w:r>
      <w:r>
        <w:rPr>
          <w:rtl w:val="true"/>
        </w:rPr>
        <w:t>ובהתחשב במורכבות התיק</w:t>
      </w:r>
      <w:r>
        <w:rPr>
          <w:rtl w:val="true"/>
        </w:rPr>
        <w:t xml:space="preserve">, </w:t>
      </w:r>
      <w:r>
        <w:rPr>
          <w:rtl w:val="true"/>
        </w:rPr>
        <w:t>חסך זמן שיפוטי ניכר</w:t>
      </w:r>
      <w:r>
        <w:rPr>
          <w:rtl w:val="true"/>
        </w:rPr>
        <w:t xml:space="preserve">. </w:t>
      </w:r>
      <w:r>
        <w:rPr>
          <w:rtl w:val="true"/>
        </w:rPr>
        <w:t xml:space="preserve">לעניין החזקת המטען </w:t>
      </w:r>
      <w:r>
        <w:rPr>
          <w:rtl w:val="true"/>
        </w:rPr>
        <w:t>–</w:t>
      </w:r>
      <w:r>
        <w:rPr>
          <w:rtl w:val="true"/>
        </w:rPr>
        <w:t xml:space="preserve"> הואיל והמטען פוצץ </w:t>
      </w:r>
      <w:r>
        <w:rPr>
          <w:rtl w:val="true"/>
        </w:rPr>
        <w:t>(</w:t>
      </w:r>
      <w:r>
        <w:rPr>
          <w:rtl w:val="true"/>
        </w:rPr>
        <w:t>לאחר תפיסתו ע</w:t>
      </w:r>
      <w:r>
        <w:rPr>
          <w:rtl w:val="true"/>
        </w:rPr>
        <w:t>"</w:t>
      </w:r>
      <w:r>
        <w:rPr>
          <w:rtl w:val="true"/>
        </w:rPr>
        <w:t>י המשטרה</w:t>
      </w:r>
      <w:r>
        <w:rPr>
          <w:rtl w:val="true"/>
        </w:rPr>
        <w:t xml:space="preserve">), </w:t>
      </w:r>
      <w:r>
        <w:rPr>
          <w:rtl w:val="true"/>
        </w:rPr>
        <w:t xml:space="preserve">לא ידועה כמות חומר הנפץ שהכיל המטען </w:t>
      </w:r>
      <w:r>
        <w:rPr>
          <w:rtl w:val="true"/>
        </w:rPr>
        <w:t>(</w:t>
      </w:r>
      <w:r>
        <w:rPr>
          <w:rtl w:val="true"/>
        </w:rPr>
        <w:t>אם כי אין מחלוקת שעל פי חוות דעת מומחה</w:t>
      </w:r>
      <w:r>
        <w:rPr>
          <w:rtl w:val="true"/>
        </w:rPr>
        <w:t xml:space="preserve">, </w:t>
      </w:r>
      <w:r>
        <w:rPr>
          <w:rtl w:val="true"/>
        </w:rPr>
        <w:t>מדובר במטען שבכוחו להמית אדם</w:t>
      </w:r>
      <w:r>
        <w:rPr>
          <w:rtl w:val="true"/>
        </w:rPr>
        <w:t xml:space="preserve">). </w:t>
      </w:r>
      <w:r>
        <w:rPr>
          <w:rtl w:val="true"/>
        </w:rPr>
        <w:t>אשר לעבירות הקשורות בנהיגתו של הנאשם</w:t>
      </w:r>
      <w:r>
        <w:rPr>
          <w:rtl w:val="true"/>
        </w:rPr>
        <w:t xml:space="preserve">, </w:t>
      </w:r>
      <w:r>
        <w:rPr>
          <w:rtl w:val="true"/>
        </w:rPr>
        <w:t>הודגש כי גם אם בשלב כלשהו מי מן השוטרים הזדהה</w:t>
      </w:r>
      <w:r>
        <w:rPr>
          <w:rtl w:val="true"/>
        </w:rPr>
        <w:t xml:space="preserve">, </w:t>
      </w:r>
      <w:r>
        <w:rPr>
          <w:rtl w:val="true"/>
        </w:rPr>
        <w:t>הרי שהנאשם לא יכול היה לעמוד על כך</w:t>
      </w:r>
      <w:r>
        <w:rPr>
          <w:rtl w:val="true"/>
        </w:rPr>
        <w:t xml:space="preserve">, </w:t>
      </w:r>
      <w:r>
        <w:rPr>
          <w:rtl w:val="true"/>
        </w:rPr>
        <w:t>מה עוד שהשוטרים היו לבושים בבגדים אזרחיים ונסעו בכלי רכב מוסווים</w:t>
      </w:r>
      <w:r>
        <w:rPr>
          <w:rtl w:val="true"/>
        </w:rPr>
        <w:t xml:space="preserve">. </w:t>
      </w:r>
      <w:r>
        <w:rPr>
          <w:rtl w:val="true"/>
        </w:rPr>
        <w:t>נהיגתו של הנאשם</w:t>
      </w:r>
      <w:r>
        <w:rPr>
          <w:rtl w:val="true"/>
        </w:rPr>
        <w:t xml:space="preserve">, </w:t>
      </w:r>
      <w:r>
        <w:rPr>
          <w:rtl w:val="true"/>
        </w:rPr>
        <w:t>כפי שהיא מתוארת בכתב האישום המתוקן</w:t>
      </w:r>
      <w:r>
        <w:rPr>
          <w:rtl w:val="true"/>
        </w:rPr>
        <w:t xml:space="preserve">, </w:t>
      </w:r>
      <w:r>
        <w:rPr>
          <w:rtl w:val="true"/>
        </w:rPr>
        <w:t>נבעה מתוך חששו כי הוא נרדף על ידי אנשים המבקשים לפגוע בחייו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הפנו ב</w:t>
      </w:r>
      <w:r>
        <w:rPr>
          <w:rtl w:val="true"/>
        </w:rPr>
        <w:t>"</w:t>
      </w:r>
      <w:r>
        <w:rPr>
          <w:rtl w:val="true"/>
        </w:rPr>
        <w:t>כ הנאשמים לנסיבותיו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כפי שהן מפורטות בדו</w:t>
      </w:r>
      <w:r>
        <w:rPr>
          <w:rtl w:val="true"/>
        </w:rPr>
        <w:t>"</w:t>
      </w:r>
      <w:r>
        <w:rPr>
          <w:rtl w:val="true"/>
        </w:rPr>
        <w:t xml:space="preserve">ח הסוציאלי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אמנם לנאשם עבר פלילי</w:t>
      </w:r>
      <w:r>
        <w:rPr>
          <w:rtl w:val="true"/>
        </w:rPr>
        <w:t xml:space="preserve">, </w:t>
      </w:r>
      <w:r>
        <w:rPr>
          <w:rtl w:val="true"/>
        </w:rPr>
        <w:t>ואולם אין הוא מכביד</w:t>
      </w:r>
      <w:r>
        <w:rPr>
          <w:rtl w:val="true"/>
        </w:rPr>
        <w:t xml:space="preserve">, </w:t>
      </w:r>
      <w:r>
        <w:rPr>
          <w:rtl w:val="true"/>
        </w:rPr>
        <w:t>ומכל מקום המאסר בפועל שהוא ריצה אינו מן העת האחרונה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עתרו ב</w:t>
      </w:r>
      <w:r>
        <w:rPr>
          <w:rtl w:val="true"/>
        </w:rPr>
        <w:t>"</w:t>
      </w:r>
      <w:r>
        <w:rPr>
          <w:rtl w:val="true"/>
        </w:rPr>
        <w:t>כ הנאשם להתחשב גם בעונש שהוטל על הנאשם האחר באותו הליך</w:t>
      </w:r>
      <w:r>
        <w:rPr>
          <w:rtl w:val="true"/>
        </w:rPr>
        <w:t xml:space="preserve">. </w:t>
      </w:r>
      <w:r>
        <w:rPr>
          <w:rtl w:val="true"/>
        </w:rPr>
        <w:t>אמנם חלקו של כל אחד מן הנאשמים בביצוע העבירה שונה</w:t>
      </w:r>
      <w:r>
        <w:rPr>
          <w:rtl w:val="true"/>
        </w:rPr>
        <w:t xml:space="preserve">, </w:t>
      </w:r>
      <w:r>
        <w:rPr>
          <w:rtl w:val="true"/>
        </w:rPr>
        <w:t>אך עדיין אין הצדקה לפער העונשים בין השניים</w:t>
      </w:r>
      <w:r>
        <w:rPr>
          <w:rtl w:val="true"/>
        </w:rPr>
        <w:t xml:space="preserve">, </w:t>
      </w:r>
      <w:r>
        <w:rPr>
          <w:rtl w:val="true"/>
        </w:rPr>
        <w:t>כפי שעתרה 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הפנו את בית המשפט לפסיקה</w:t>
      </w:r>
      <w:r>
        <w:rPr>
          <w:rtl w:val="true"/>
        </w:rPr>
        <w:t xml:space="preserve">, </w:t>
      </w:r>
      <w:r>
        <w:rPr>
          <w:rtl w:val="true"/>
        </w:rPr>
        <w:t>ובין היתר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hyperlink r:id="rId12"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19.4.04</w:t>
      </w:r>
      <w:r>
        <w:rPr>
          <w:rtl w:val="true"/>
        </w:rPr>
        <w:t xml:space="preserve">), </w:t>
      </w:r>
      <w:r>
        <w:rPr>
          <w:rtl w:val="true"/>
        </w:rPr>
        <w:t xml:space="preserve">בו הורשעו המשיבים בנשיאת נשק </w:t>
      </w:r>
      <w:r>
        <w:rPr>
          <w:rtl w:val="true"/>
        </w:rPr>
        <w:t>(</w:t>
      </w:r>
      <w:r>
        <w:rPr>
          <w:rtl w:val="true"/>
        </w:rPr>
        <w:t>הובלה ברכב של לבנות חבלה שנגנבו 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 xml:space="preserve">וקבלת נכסים שהושגו בפשע </w:t>
      </w:r>
      <w:r>
        <w:rPr>
          <w:rtl w:val="true"/>
        </w:rPr>
        <w:t>–</w:t>
      </w:r>
      <w:r>
        <w:rPr>
          <w:rtl w:val="true"/>
        </w:rPr>
        <w:t xml:space="preserve"> בבית המשפט המחוזי המשיבים נדונו לעונש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ערעור המדינה התקבל ועונשם הוחמר 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; 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מרכז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26480-05-11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אביטבול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1.3.12</w:t>
      </w:r>
      <w:r>
        <w:rPr>
          <w:rtl w:val="true"/>
        </w:rPr>
        <w:t xml:space="preserve">), </w:t>
      </w:r>
      <w:r>
        <w:rPr>
          <w:rtl w:val="true"/>
        </w:rPr>
        <w:t xml:space="preserve">בו הורשעו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בקשירת קשר לביצוע פשע</w:t>
      </w:r>
      <w:r>
        <w:rPr>
          <w:rtl w:val="true"/>
        </w:rPr>
        <w:t xml:space="preserve">, </w:t>
      </w:r>
      <w:r>
        <w:rPr>
          <w:rtl w:val="true"/>
        </w:rPr>
        <w:t>עשיית עסקה שיש עמה מסירת החזקת מטען חבלה מאולתר ופגז זיקוקין וכן עבירות נוספות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הורשע בסיוע לביצוע עסקה שיש עמה מסירת החזקה במטען חבלה מאולתר ופגז זיקוקין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נדון לעונש של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>(</w:t>
      </w:r>
      <w:r>
        <w:rPr>
          <w:rtl w:val="true"/>
        </w:rPr>
        <w:t xml:space="preserve">ובנוסף הפעלת עונש מותנה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נדון לעונש של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>(</w:t>
      </w:r>
      <w:r>
        <w:rPr>
          <w:rtl w:val="true"/>
        </w:rPr>
        <w:t xml:space="preserve">ובנוסף הפעלת תנאי של עונש מותנה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 xml:space="preserve">והנאשם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נדון לעונש של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; </w:t>
      </w:r>
      <w:hyperlink r:id="rId1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5851-09-10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בלולו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10.2.11</w:t>
      </w:r>
      <w:r>
        <w:rPr>
          <w:rtl w:val="true"/>
        </w:rPr>
        <w:t xml:space="preserve">), </w:t>
      </w:r>
      <w:r>
        <w:rPr>
          <w:rtl w:val="true"/>
        </w:rPr>
        <w:t xml:space="preserve">בו הורשע הנאשם בהיזק בחומר נפיץ </w:t>
      </w:r>
      <w:r>
        <w:rPr>
          <w:rtl w:val="true"/>
        </w:rPr>
        <w:t>(</w:t>
      </w:r>
      <w:r>
        <w:rPr>
          <w:rtl w:val="true"/>
        </w:rPr>
        <w:t>הנחת והצתת מטען חבלה מאולתר בבית המתלונן</w:t>
      </w:r>
      <w:r>
        <w:rPr>
          <w:rtl w:val="true"/>
        </w:rPr>
        <w:t xml:space="preserve">)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 xml:space="preserve">ונדון לעונש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בגין עבירת היזק בחומר נפיץ </w:t>
      </w:r>
      <w:r>
        <w:rPr>
          <w:rtl w:val="true"/>
        </w:rPr>
        <w:t>(</w:t>
      </w:r>
      <w:r>
        <w:rPr>
          <w:rtl w:val="true"/>
        </w:rPr>
        <w:t xml:space="preserve">וכן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בגין האיומים</w:t>
      </w:r>
      <w:r>
        <w:rPr>
          <w:rtl w:val="true"/>
        </w:rPr>
        <w:t xml:space="preserve">); </w:t>
      </w:r>
      <w:hyperlink r:id="rId1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נצ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41997-06-10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פאיד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4.5.11</w:t>
      </w:r>
      <w:r>
        <w:rPr>
          <w:rtl w:val="true"/>
        </w:rPr>
        <w:t xml:space="preserve">), </w:t>
      </w:r>
      <w:r>
        <w:rPr>
          <w:rtl w:val="true"/>
        </w:rPr>
        <w:t xml:space="preserve">בו הורשע הנאשם בנשיאת נשק ותחמושת שלא כדין </w:t>
      </w:r>
      <w:r>
        <w:rPr>
          <w:rtl w:val="true"/>
        </w:rPr>
        <w:t>(</w:t>
      </w:r>
      <w:r>
        <w:rPr>
          <w:rtl w:val="true"/>
        </w:rPr>
        <w:t>מספר מקרים</w:t>
      </w:r>
      <w:r>
        <w:rPr>
          <w:rtl w:val="true"/>
        </w:rPr>
        <w:t xml:space="preserve">), </w:t>
      </w:r>
      <w:r>
        <w:rPr>
          <w:rtl w:val="true"/>
        </w:rPr>
        <w:t xml:space="preserve">החזקת נשק ותחמושת שלא כדין </w:t>
      </w:r>
      <w:r>
        <w:rPr>
          <w:rtl w:val="true"/>
        </w:rPr>
        <w:t>(</w:t>
      </w:r>
      <w:r>
        <w:rPr>
          <w:rtl w:val="true"/>
        </w:rPr>
        <w:t>מספר מקרים</w:t>
      </w:r>
      <w:r>
        <w:rPr>
          <w:rtl w:val="true"/>
        </w:rPr>
        <w:t xml:space="preserve">) </w:t>
      </w:r>
      <w:r>
        <w:rPr>
          <w:rtl w:val="true"/>
        </w:rPr>
        <w:t>ויריות באיזור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ונדון לעונש של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; </w:t>
      </w:r>
      <w:hyperlink r:id="rId1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8047-09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אלמליח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23.11.11</w:t>
      </w:r>
      <w:r>
        <w:rPr>
          <w:rtl w:val="true"/>
        </w:rPr>
        <w:t xml:space="preserve">), </w:t>
      </w:r>
      <w:r>
        <w:rPr>
          <w:rtl w:val="true"/>
        </w:rPr>
        <w:t xml:space="preserve">בו הורשע הנאשם בנשיאת נשק </w:t>
      </w:r>
      <w:r>
        <w:rPr>
          <w:rtl w:val="true"/>
        </w:rPr>
        <w:t>(</w:t>
      </w:r>
      <w:r>
        <w:rPr>
          <w:rtl w:val="true"/>
        </w:rPr>
        <w:t>רימון רסס 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שנגנב מכוחות הביטחון</w:t>
      </w:r>
      <w:r>
        <w:rPr>
          <w:rtl w:val="true"/>
        </w:rPr>
        <w:t xml:space="preserve">), </w:t>
      </w:r>
      <w:r>
        <w:rPr>
          <w:rtl w:val="true"/>
        </w:rPr>
        <w:t>איומים והחזקת רכוש חשדו כגנוב</w:t>
      </w:r>
      <w:r>
        <w:rPr>
          <w:rtl w:val="true"/>
        </w:rPr>
        <w:t xml:space="preserve">, </w:t>
      </w:r>
      <w:r>
        <w:rPr>
          <w:rtl w:val="true"/>
        </w:rPr>
        <w:t xml:space="preserve">ונדון לעונש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; </w:t>
      </w:r>
      <w:hyperlink r:id="rId17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ח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1122-09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בוקובזה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21.3.10</w:t>
      </w:r>
      <w:r>
        <w:rPr>
          <w:rtl w:val="true"/>
        </w:rPr>
        <w:t xml:space="preserve">), </w:t>
      </w:r>
      <w:r>
        <w:rPr>
          <w:rtl w:val="true"/>
        </w:rPr>
        <w:t xml:space="preserve">בו הורשעו הנאשמים בהיזק בחומר נפיץ </w:t>
      </w:r>
      <w:r>
        <w:rPr>
          <w:rtl w:val="true"/>
        </w:rPr>
        <w:t>(</w:t>
      </w:r>
      <w:r>
        <w:rPr>
          <w:rtl w:val="true"/>
        </w:rPr>
        <w:t>הרכבת מטען חבלה והפעלתו</w:t>
      </w:r>
      <w:r>
        <w:rPr>
          <w:rtl w:val="true"/>
        </w:rPr>
        <w:t xml:space="preserve">) </w:t>
      </w:r>
      <w:r>
        <w:rPr>
          <w:rtl w:val="true"/>
        </w:rPr>
        <w:t>וקשירת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הורשע גם בעבירה של היזק בחומר נפיץ </w:t>
      </w:r>
      <w:r>
        <w:rPr>
          <w:rtl w:val="true"/>
        </w:rPr>
        <w:t>(</w:t>
      </w:r>
      <w:r>
        <w:rPr>
          <w:rtl w:val="true"/>
        </w:rPr>
        <w:t>הרכבת מטען חבלה והפעלתו</w:t>
      </w:r>
      <w:r>
        <w:rPr>
          <w:rtl w:val="true"/>
        </w:rPr>
        <w:t xml:space="preserve">), </w:t>
      </w:r>
      <w:r>
        <w:rPr>
          <w:rtl w:val="true"/>
        </w:rPr>
        <w:t xml:space="preserve">והנאשם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 גם בהכנת עבירה בחומרים מסוכנים</w:t>
      </w:r>
      <w:r>
        <w:rPr>
          <w:rtl w:val="true"/>
        </w:rPr>
        <w:t xml:space="preserve">, </w:t>
      </w:r>
      <w:r>
        <w:rPr>
          <w:rtl w:val="true"/>
        </w:rPr>
        <w:t xml:space="preserve">איסור החזקה או הנהלה </w:t>
      </w:r>
      <w:r>
        <w:rPr>
          <w:rtl w:val="true"/>
        </w:rPr>
        <w:t>(</w:t>
      </w:r>
      <w:r>
        <w:rPr>
          <w:rtl w:val="true"/>
        </w:rPr>
        <w:t>משחקים אסורים</w:t>
      </w:r>
      <w:r>
        <w:rPr>
          <w:rtl w:val="true"/>
        </w:rPr>
        <w:t xml:space="preserve">) </w:t>
      </w:r>
      <w:r>
        <w:rPr>
          <w:rtl w:val="true"/>
        </w:rPr>
        <w:t xml:space="preserve">והחזקת נשק ואביזריו </w:t>
      </w:r>
      <w:r>
        <w:rPr>
          <w:rtl w:val="true"/>
        </w:rPr>
        <w:t>(</w:t>
      </w:r>
      <w:r>
        <w:rPr>
          <w:rtl w:val="true"/>
        </w:rPr>
        <w:t>רימון עשן מתפוצץ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נדון לעונש של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הנאשמים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נדונו לעונש של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; </w:t>
      </w:r>
      <w:hyperlink r:id="rId1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5739-01-09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היב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30.7.09</w:t>
      </w:r>
      <w:r>
        <w:rPr>
          <w:rtl w:val="true"/>
        </w:rPr>
        <w:t xml:space="preserve">), </w:t>
      </w:r>
      <w:r>
        <w:rPr>
          <w:rtl w:val="true"/>
        </w:rPr>
        <w:t xml:space="preserve">בו הורשע הנאשם בעבירות נשק וניסיון להרוס נכס בחומר נפיץ </w:t>
      </w:r>
      <w:r>
        <w:rPr>
          <w:rtl w:val="true"/>
        </w:rPr>
        <w:t>(</w:t>
      </w:r>
      <w:r>
        <w:rPr>
          <w:rtl w:val="true"/>
        </w:rPr>
        <w:t>השלכת רימון לעבר ביתו של המתלונן</w:t>
      </w:r>
      <w:r>
        <w:rPr>
          <w:rtl w:val="true"/>
        </w:rPr>
        <w:t xml:space="preserve">), </w:t>
      </w:r>
      <w:r>
        <w:rPr>
          <w:rtl w:val="true"/>
        </w:rPr>
        <w:t xml:space="preserve">ונדון לעונש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 הביע חרטה עמוקה על מעשיו</w:t>
      </w:r>
      <w:r>
        <w:rPr>
          <w:rtl w:val="true"/>
        </w:rPr>
        <w:t xml:space="preserve">, </w:t>
      </w:r>
      <w:r>
        <w:rPr>
          <w:rtl w:val="true"/>
        </w:rPr>
        <w:t>הן בעל פה והן בכתב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rtl w:val="true"/>
        </w:rPr>
        <w:t>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אין צורך להכביר מילים בדבר חומרת העבירות בהן הורשע הנאשם</w:t>
      </w:r>
      <w:r>
        <w:rPr>
          <w:rtl w:val="true"/>
        </w:rPr>
        <w:t xml:space="preserve">, </w:t>
      </w:r>
      <w:r>
        <w:rPr>
          <w:rtl w:val="true"/>
        </w:rPr>
        <w:t>אף לאחר שכתב האישום תוקן ומותן</w:t>
      </w:r>
      <w:r>
        <w:rPr>
          <w:rtl w:val="true"/>
        </w:rPr>
        <w:t xml:space="preserve">. </w:t>
      </w:r>
      <w:r>
        <w:rPr>
          <w:rtl w:val="true"/>
        </w:rPr>
        <w:t>כפי שפורט לעיל</w:t>
      </w:r>
      <w:r>
        <w:rPr>
          <w:rtl w:val="true"/>
        </w:rPr>
        <w:t xml:space="preserve">, </w:t>
      </w:r>
      <w:r>
        <w:rPr>
          <w:rtl w:val="true"/>
        </w:rPr>
        <w:t>הנאשם נשא ברכבו מטען חבלה</w:t>
      </w:r>
      <w:r>
        <w:rPr>
          <w:rtl w:val="true"/>
        </w:rPr>
        <w:t xml:space="preserve">, </w:t>
      </w:r>
      <w:r>
        <w:rPr>
          <w:rtl w:val="true"/>
        </w:rPr>
        <w:t>כשהוא נוהג בפראות</w:t>
      </w:r>
      <w:r>
        <w:rPr>
          <w:rtl w:val="true"/>
        </w:rPr>
        <w:t xml:space="preserve">, </w:t>
      </w:r>
      <w:r>
        <w:rPr>
          <w:rtl w:val="true"/>
        </w:rPr>
        <w:t>באור יום</w:t>
      </w:r>
      <w:r>
        <w:rPr>
          <w:rtl w:val="true"/>
        </w:rPr>
        <w:t xml:space="preserve">, </w:t>
      </w:r>
      <w:r>
        <w:rPr>
          <w:rtl w:val="true"/>
        </w:rPr>
        <w:t>ברחובות הומי אדם</w:t>
      </w:r>
      <w:r>
        <w:rPr>
          <w:rtl w:val="true"/>
        </w:rPr>
        <w:t xml:space="preserve">. </w:t>
      </w:r>
      <w:r>
        <w:rPr>
          <w:rtl w:val="true"/>
        </w:rPr>
        <w:t>מעבר להיות מטען החבלה נשק מסוכן</w:t>
      </w:r>
      <w:r>
        <w:rPr>
          <w:rtl w:val="true"/>
        </w:rPr>
        <w:t xml:space="preserve">, </w:t>
      </w:r>
      <w:r>
        <w:rPr>
          <w:rtl w:val="true"/>
        </w:rPr>
        <w:t>מניה וביה</w:t>
      </w:r>
      <w:r>
        <w:rPr>
          <w:rtl w:val="true"/>
        </w:rPr>
        <w:t xml:space="preserve">, </w:t>
      </w:r>
      <w:r>
        <w:rPr>
          <w:rtl w:val="true"/>
        </w:rPr>
        <w:t>הרי שאין להוציא מכלל אפשרות שמטען החבלה עלול היה להתפוצץ ולגרום נזק גם בזמן הנסיעה המתוארת לעיל</w:t>
      </w:r>
      <w:r>
        <w:rPr>
          <w:rtl w:val="true"/>
        </w:rPr>
        <w:t xml:space="preserve">, </w:t>
      </w:r>
      <w:r>
        <w:rPr>
          <w:rtl w:val="true"/>
        </w:rPr>
        <w:t>על כל המשתמע מכך</w:t>
      </w:r>
      <w:r>
        <w:rPr>
          <w:rtl w:val="true"/>
        </w:rPr>
        <w:t xml:space="preserve">. </w:t>
      </w:r>
      <w:r>
        <w:rPr>
          <w:rtl w:val="true"/>
        </w:rPr>
        <w:t xml:space="preserve">בתי המשפט שבו והדגישו את חומרת התופעה של </w:t>
      </w:r>
      <w:r>
        <w:rPr>
          <w:rtl w:val="true"/>
        </w:rPr>
        <w:t>"</w:t>
      </w:r>
      <w:r>
        <w:rPr>
          <w:rtl w:val="true"/>
        </w:rPr>
        <w:t>פיגועים פליליים</w:t>
      </w:r>
      <w:r>
        <w:rPr>
          <w:rtl w:val="true"/>
        </w:rPr>
        <w:t xml:space="preserve">", </w:t>
      </w:r>
      <w:r>
        <w:rPr>
          <w:rtl w:val="true"/>
        </w:rPr>
        <w:t>שהפכה להיות שכיחה</w:t>
      </w:r>
      <w:r>
        <w:rPr>
          <w:rtl w:val="true"/>
        </w:rPr>
        <w:t xml:space="preserve">, </w:t>
      </w:r>
      <w:r>
        <w:rPr>
          <w:rtl w:val="true"/>
        </w:rPr>
        <w:t xml:space="preserve">ואשר גרמה לקיפוח חייהם של אנשים תמימים וחפים מפשע ולהרס משפחות </w:t>
      </w:r>
      <w:r>
        <w:rPr>
          <w:rtl w:val="true"/>
        </w:rPr>
        <w:t>(</w:t>
      </w:r>
      <w:r>
        <w:rPr>
          <w:rtl w:val="true"/>
        </w:rPr>
        <w:t xml:space="preserve">ראה למשל עניין </w:t>
      </w:r>
      <w:r>
        <w:rPr>
          <w:b/>
          <w:b/>
          <w:bCs/>
          <w:rtl w:val="true"/>
        </w:rPr>
        <w:t>שאדי עזאם</w:t>
      </w:r>
      <w:r>
        <w:rPr>
          <w:rtl w:val="true"/>
        </w:rPr>
        <w:t xml:space="preserve">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אין מדובר בנאשם שזהו לו המפגש הראשון עם החוק</w:t>
      </w:r>
      <w:r>
        <w:rPr>
          <w:rtl w:val="true"/>
        </w:rPr>
        <w:t xml:space="preserve">, </w:t>
      </w:r>
      <w:r>
        <w:rPr>
          <w:rtl w:val="true"/>
        </w:rPr>
        <w:t>כי אם במי שהורשע בפלילים</w:t>
      </w:r>
      <w:r>
        <w:rPr>
          <w:rtl w:val="true"/>
        </w:rPr>
        <w:t xml:space="preserve">, </w:t>
      </w:r>
      <w:r>
        <w:rPr>
          <w:rtl w:val="true"/>
        </w:rPr>
        <w:t>ואף ריצה תקופת מאסר מאחורי סורג ובריח</w:t>
      </w:r>
      <w:r>
        <w:rPr>
          <w:rtl w:val="true"/>
        </w:rPr>
        <w:t xml:space="preserve">. </w:t>
      </w:r>
      <w:r>
        <w:rPr>
          <w:rtl w:val="true"/>
        </w:rPr>
        <w:t>מטרת הענישה היא אפוא הן הרתעת הנאשם העומד לדין והן הרתעת הרבים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שקלתי את הודייתו של הנאשם וחרטתו</w:t>
      </w:r>
      <w:r>
        <w:rPr>
          <w:rtl w:val="true"/>
        </w:rPr>
        <w:t xml:space="preserve">. </w:t>
      </w:r>
      <w:r>
        <w:rPr>
          <w:rtl w:val="true"/>
        </w:rPr>
        <w:t>הודייה זו חסכה זמן שיפוטי</w:t>
      </w:r>
      <w:r>
        <w:rPr>
          <w:rtl w:val="true"/>
        </w:rPr>
        <w:t xml:space="preserve">, </w:t>
      </w:r>
      <w:r>
        <w:rPr>
          <w:rtl w:val="true"/>
        </w:rPr>
        <w:t>וזאת בעיקר בהתחשב במורכבותו הראייתית של התיק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שקלתי את נסיבותיו האישיות של הנאשם כפי שפורטו בעל פה ובכתב</w:t>
      </w:r>
      <w:r>
        <w:rPr>
          <w:rtl w:val="true"/>
        </w:rPr>
        <w:t xml:space="preserve">, </w:t>
      </w:r>
      <w:r>
        <w:rPr>
          <w:rtl w:val="true"/>
        </w:rPr>
        <w:t>ובין היתר</w:t>
      </w:r>
      <w:r>
        <w:rPr>
          <w:rtl w:val="true"/>
        </w:rPr>
        <w:t xml:space="preserve">, </w:t>
      </w:r>
      <w:r>
        <w:rPr>
          <w:rtl w:val="true"/>
        </w:rPr>
        <w:t>את המצוקה המשפחתית והכלכלית</w:t>
      </w:r>
      <w:r>
        <w:rPr>
          <w:rtl w:val="true"/>
        </w:rPr>
        <w:t xml:space="preserve">, </w:t>
      </w:r>
      <w:r>
        <w:rPr>
          <w:rtl w:val="true"/>
        </w:rPr>
        <w:t>והיות הנאשם נשוי ואב לבנות רכות בשנים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 xml:space="preserve">אשר לאחידות הענישה </w:t>
      </w:r>
      <w:r>
        <w:rPr>
          <w:rtl w:val="true"/>
        </w:rPr>
        <w:t>–</w:t>
      </w:r>
      <w:r>
        <w:rPr>
          <w:rtl w:val="true"/>
        </w:rPr>
        <w:t xml:space="preserve"> יש לאבחן בין שני הנאשמים</w:t>
      </w:r>
      <w:r>
        <w:rPr>
          <w:rtl w:val="true"/>
        </w:rPr>
        <w:t xml:space="preserve">: </w:t>
      </w:r>
      <w:r>
        <w:rPr>
          <w:rtl w:val="true"/>
        </w:rPr>
        <w:t xml:space="preserve">אמנם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הוא זה שמסר את מטען החבלה לנאשם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ואולם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כאמור נשא את מטען החבלה כשהוא נוהג בפראות ברחובות העיר</w:t>
      </w:r>
      <w:r>
        <w:rPr>
          <w:rtl w:val="true"/>
        </w:rPr>
        <w:t xml:space="preserve">, </w:t>
      </w:r>
      <w:r>
        <w:rPr>
          <w:rtl w:val="true"/>
        </w:rPr>
        <w:t>מה שנחזה כצעד מתקדם לקראת עשיית שימוש בו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בין יתר שיקולי הענישה</w:t>
      </w:r>
      <w:r>
        <w:rPr>
          <w:rtl w:val="true"/>
        </w:rPr>
        <w:t xml:space="preserve">, </w:t>
      </w:r>
      <w:r>
        <w:rPr>
          <w:rtl w:val="true"/>
        </w:rPr>
        <w:t xml:space="preserve">התחשבתי גם בעונש שהוטל על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תוך עריכת ההבחנה ביניהם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בהתחשב בכל השיקולים שפורטו לעיל ובפסיקה המשקפת את מדיניות הענישה</w:t>
      </w:r>
      <w:r>
        <w:rPr>
          <w:rtl w:val="true"/>
        </w:rPr>
        <w:t xml:space="preserve">, </w:t>
      </w:r>
      <w:r>
        <w:rPr>
          <w:rtl w:val="true"/>
        </w:rPr>
        <w:t>מצאתי כי הסדר הטיעון מצוי במתחם הסבירות</w:t>
      </w:r>
      <w:r>
        <w:rPr>
          <w:rtl w:val="true"/>
        </w:rPr>
        <w:t xml:space="preserve">, </w:t>
      </w:r>
      <w:r>
        <w:rPr>
          <w:rtl w:val="true"/>
        </w:rPr>
        <w:t>והחלטתי לכבדו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אני גוזרת על הנאשם</w:t>
      </w:r>
      <w:r>
        <w:rPr>
          <w:rtl w:val="true"/>
        </w:rPr>
        <w:t xml:space="preserve">, </w:t>
      </w:r>
      <w:r>
        <w:rPr>
          <w:rtl w:val="true"/>
        </w:rPr>
        <w:t>את העונשים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למשך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המעצר </w:t>
      </w:r>
      <w:r>
        <w:rPr>
          <w:rtl w:val="true"/>
        </w:rPr>
        <w:t xml:space="preserve">- </w:t>
      </w:r>
      <w:r>
        <w:rPr/>
        <w:t>25.6.11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והנאשם לא יישא בעונש זה אלא אם כן יעבור בתוך שלוש שנים מיום שחרורו עבירת 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למשך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והנאשם לא יישא בעונש זה אלא אם כן יעבור בתוך שלוש שנים מיום שחרורו עבירה של נהיגה בפזיזות ורשלנות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והנאשם לא יישא בעונש זה אלא אם כן יעבור בתוך שלוש שנים מיום שחרורו עבירה של הפרעה לשוטר בשעת מילוי תפקידו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 xml:space="preserve">קנס כספי בסך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 ישולם בחמישה תשלומים חודשיים</w:t>
      </w:r>
      <w:r>
        <w:rPr>
          <w:rtl w:val="true"/>
        </w:rPr>
        <w:t xml:space="preserve">, </w:t>
      </w:r>
      <w:r>
        <w:rPr>
          <w:rtl w:val="true"/>
        </w:rPr>
        <w:t>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2.9.12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לכל חודש שאחריו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אי תשלום אחד התשלומים במועד יגרום לכך שיתרת הקנס תעמוד לפירעון 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 xml:space="preserve">הנני פוסלת את הנאשם מלהחזיק או מלקבל רישיון נהיגה למשך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 מיום שחרורו מן 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לבית המשפט העליון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13/06/2012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ליאורה ברודי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ליאורה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ברודי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29839-07-11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אלעד צוברה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70301/338.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38.1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case/526610" TargetMode="External"/><Relationship Id="rId11" Type="http://schemas.openxmlformats.org/officeDocument/2006/relationships/hyperlink" Target="http://www.nevo.co.il/case/2503741" TargetMode="External"/><Relationship Id="rId12" Type="http://schemas.openxmlformats.org/officeDocument/2006/relationships/hyperlink" Target="http://www.nevo.co.il/case/5762686" TargetMode="External"/><Relationship Id="rId13" Type="http://schemas.openxmlformats.org/officeDocument/2006/relationships/hyperlink" Target="http://www.nevo.co.il/case/2776331" TargetMode="External"/><Relationship Id="rId14" Type="http://schemas.openxmlformats.org/officeDocument/2006/relationships/hyperlink" Target="http://www.nevo.co.il/case/5104087" TargetMode="External"/><Relationship Id="rId15" Type="http://schemas.openxmlformats.org/officeDocument/2006/relationships/hyperlink" Target="http://www.nevo.co.il/case/5003015" TargetMode="External"/><Relationship Id="rId16" Type="http://schemas.openxmlformats.org/officeDocument/2006/relationships/hyperlink" Target="http://www.nevo.co.il/case/2525585" TargetMode="External"/><Relationship Id="rId17" Type="http://schemas.openxmlformats.org/officeDocument/2006/relationships/hyperlink" Target="http://www.nevo.co.il/case/2530200" TargetMode="External"/><Relationship Id="rId18" Type="http://schemas.openxmlformats.org/officeDocument/2006/relationships/hyperlink" Target="http://www.nevo.co.il/case/4487749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2016-03-14T10:49:00Z</dcterms:created>
  <dc:creator> </dc:creator>
  <dc:description/>
  <cp:keywords/>
  <dc:language>en-IL</dc:language>
  <cp:lastModifiedBy>hofit</cp:lastModifiedBy>
  <dcterms:modified xsi:type="dcterms:W3CDTF">2016-03-14T10:49:00Z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אלעד צוברה;אלכסנדר אורזלין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526610;2503741;5762686;2776331;5104087;5003015;2525585;2530200;4487749</vt:lpwstr>
  </property>
  <property fmtid="{D5CDD505-2E9C-101B-9397-08002B2CF9AE}" pid="9" name="CITY">
    <vt:lpwstr>מרכז</vt:lpwstr>
  </property>
  <property fmtid="{D5CDD505-2E9C-101B-9397-08002B2CF9AE}" pid="10" name="DATE">
    <vt:lpwstr>20120613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ליאורה ברודי</vt:lpwstr>
  </property>
  <property fmtid="{D5CDD505-2E9C-101B-9397-08002B2CF9AE}" pid="14" name="LAWLISTTMP1">
    <vt:lpwstr>70301/144.b;338.1;275</vt:lpwstr>
  </property>
  <property fmtid="{D5CDD505-2E9C-101B-9397-08002B2CF9AE}" pid="15" name="LAWYER">
    <vt:lpwstr>אלון טנקג'י;שילה דורפמן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29839</vt:lpwstr>
  </property>
  <property fmtid="{D5CDD505-2E9C-101B-9397-08002B2CF9AE}" pid="22" name="NEWPARTB">
    <vt:lpwstr>07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390020120613</vt:lpwstr>
  </property>
  <property fmtid="{D5CDD505-2E9C-101B-9397-08002B2CF9AE}" pid="34" name="TYPE_N_DATE">
    <vt:lpwstr>39020120613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