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38"/>
        <w:gridCol w:w="447"/>
        <w:gridCol w:w="1572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173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2991-06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דרוטמן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72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2008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ויטלי דרוטמן</w:t>
            </w:r>
          </w:p>
        </w:tc>
      </w:tr>
    </w:tbl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הלנה עראף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הסניגורית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מיכל דוידי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מטעם הסניגוריה הציבורית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ק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המבחן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אין הופע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10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67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Start w:id="8" w:name="סוג_מסמך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bookmarkStart w:id="9" w:name="PsakDin"/>
      <w:bookmarkStart w:id="10" w:name="ABSTRACT_START"/>
      <w:bookmarkEnd w:id="9"/>
      <w:bookmarkEnd w:id="10"/>
      <w:r>
        <w:rPr>
          <w:sz w:val="22"/>
          <w:sz w:val="22"/>
          <w:rtl w:val="true"/>
        </w:rPr>
        <w:t xml:space="preserve">בתאריך </w:t>
      </w:r>
      <w:r>
        <w:rPr>
          <w:sz w:val="22"/>
        </w:rPr>
        <w:t>15/12/05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 הנאשם כאשר  הוא מחזיק סם מסוכן מסוג הירואין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במשקל של  </w:t>
      </w:r>
      <w:r>
        <w:rPr>
          <w:sz w:val="22"/>
        </w:rPr>
        <w:t>0.4769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 נטו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 כך הוגש  נגדו כתב האישום שבפניי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בו יוחס לו ביצוע עבירה לפי </w:t>
      </w:r>
      <w:hyperlink r:id="rId12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 +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סייפא ל</w:t>
      </w:r>
      <w:hyperlink r:id="rId13">
        <w:r>
          <w:rPr>
            <w:rStyle w:val="Hyperlink"/>
            <w:sz w:val="22"/>
            <w:sz w:val="22"/>
            <w:rtl w:val="true"/>
          </w:rPr>
          <w:t>פקודת הסמים המסוכנים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נוסח חדש</w:t>
      </w:r>
      <w:r>
        <w:rPr>
          <w:sz w:val="22"/>
          <w:rtl w:val="true"/>
        </w:rPr>
        <w:t xml:space="preserve">],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ג </w:t>
      </w:r>
      <w:r>
        <w:rPr>
          <w:sz w:val="22"/>
          <w:rtl w:val="true"/>
        </w:rPr>
        <w:t xml:space="preserve">- </w:t>
      </w:r>
      <w:r>
        <w:rPr>
          <w:sz w:val="22"/>
        </w:rPr>
        <w:t>1973</w:t>
      </w:r>
      <w:bookmarkStart w:id="11" w:name="ABSTRACT_END"/>
      <w:bookmarkEnd w:id="11"/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פקודת הסמים</w:t>
      </w:r>
      <w:r>
        <w:rPr>
          <w:sz w:val="22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בישיבת ההקראה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שהתקיימה ביום </w:t>
      </w:r>
      <w:r>
        <w:rPr>
          <w:sz w:val="22"/>
        </w:rPr>
        <w:t>20/12/06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הודה הנאשם בעובדות שפורטו בכתב האישום וביקש לצרף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 נוספים שהיו תלויים ועומדים נגדו באותו מועד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 לכך נדחה התיק להמשך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 לאפשר לב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 המאשימה להביא את התיקים הנוספים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בין לבין התברר כי נפתחו לנאשם תיקי מב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 חדשים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 לשניים אותם  ביקש הנאשם לצרף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 התברר כי לאור העבירות שבביצוען חשוד הנאשם בתיקי המב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  הפתוחים נגדו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מתכוונת המאשימה  לעתור להטלת עונש  מאסר בפועל על 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 תיקים אלה יצורפו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לכן מונה לנאשם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לבקשתו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סניגור מטעם  הסניגוריה  הציבורית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בישיבת יום </w:t>
      </w:r>
      <w:r>
        <w:rPr>
          <w:sz w:val="22"/>
        </w:rPr>
        <w:t>27/4/07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 היה הנאשם כבר מיוצג 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 סניגורית  מטעם הסניגוריה הציבורית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 הנאשם לצרף שלשה תיקים 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 להלן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3468/06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 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 השלום עכו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בו יוחס לנאשם ביצוע עבירה  לפי </w:t>
      </w:r>
      <w:hyperlink r:id="rId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 +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סייפא לפקודת הסמים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שנעברה ב</w:t>
      </w:r>
      <w:r>
        <w:rPr>
          <w:sz w:val="22"/>
          <w:rtl w:val="true"/>
        </w:rPr>
        <w:t xml:space="preserve">- </w:t>
      </w:r>
      <w:r>
        <w:rPr>
          <w:sz w:val="22"/>
        </w:rPr>
        <w:t>09/03/06</w:t>
      </w:r>
      <w:r>
        <w:rPr>
          <w:sz w:val="22"/>
          <w:rtl w:val="true"/>
        </w:rPr>
        <w:t>,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color w:val="000000"/>
          <w:sz w:val="22"/>
          <w:sz w:val="22"/>
          <w:rtl w:val="true"/>
        </w:rPr>
        <w:t>ת</w:t>
      </w:r>
      <w:r>
        <w:rPr>
          <w:color w:val="000000"/>
          <w:sz w:val="22"/>
          <w:rtl w:val="true"/>
        </w:rPr>
        <w:t>.</w:t>
      </w:r>
      <w:r>
        <w:rPr>
          <w:color w:val="000000"/>
          <w:sz w:val="22"/>
          <w:sz w:val="22"/>
          <w:rtl w:val="true"/>
        </w:rPr>
        <w:t>פ</w:t>
      </w:r>
      <w:r>
        <w:rPr>
          <w:color w:val="000000"/>
          <w:sz w:val="22"/>
          <w:rtl w:val="true"/>
        </w:rPr>
        <w:t xml:space="preserve">. </w:t>
      </w:r>
      <w:r>
        <w:rPr>
          <w:color w:val="000000"/>
          <w:sz w:val="22"/>
        </w:rPr>
        <w:t>3469/06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 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 השלום עכו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בו יוחס לנאשם ביצוע עבירות לפי </w:t>
      </w:r>
      <w:hyperlink r:id="rId15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 +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ריישא</w:t>
      </w:r>
      <w:r>
        <w:rPr>
          <w:sz w:val="22"/>
          <w:rtl w:val="true"/>
        </w:rPr>
        <w:t xml:space="preserve">,  </w:t>
      </w:r>
      <w:hyperlink r:id="rId16">
        <w:r>
          <w:rPr>
            <w:rStyle w:val="Hyperlink"/>
            <w:sz w:val="22"/>
          </w:rPr>
          <w:t>7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 + (</w:t>
        </w:r>
        <w:r>
          <w:rPr>
            <w:rStyle w:val="Hyperlink"/>
            <w:sz w:val="22"/>
            <w:sz w:val="22"/>
            <w:rtl w:val="true"/>
          </w:rPr>
          <w:t>ג</w:t>
        </w:r>
        <w:r>
          <w:rPr>
            <w:rStyle w:val="Hyperlink"/>
            <w:sz w:val="22"/>
            <w:rtl w:val="true"/>
          </w:rPr>
          <w:t xml:space="preserve">) </w:t>
        </w:r>
      </w:hyperlink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סייפא ו</w:t>
      </w:r>
      <w:r>
        <w:rPr>
          <w:sz w:val="22"/>
          <w:rtl w:val="true"/>
        </w:rPr>
        <w:t xml:space="preserve">- </w:t>
      </w:r>
      <w:hyperlink r:id="rId17">
        <w:r>
          <w:rPr>
            <w:rStyle w:val="Hyperlink"/>
            <w:sz w:val="22"/>
          </w:rPr>
          <w:t>10</w:t>
        </w:r>
        <w:r>
          <w:rPr>
            <w:rStyle w:val="Hyperlink"/>
            <w:sz w:val="22"/>
            <w:rtl w:val="true"/>
          </w:rPr>
          <w:t xml:space="preserve"> </w:t>
        </w:r>
      </w:hyperlink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סייפא לפקודת הסמים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וכן עבירה לפי </w:t>
      </w:r>
      <w:hyperlink r:id="rId1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9">
        <w:r>
          <w:rPr>
            <w:rStyle w:val="Hyperlink"/>
            <w:sz w:val="22"/>
            <w:sz w:val="22"/>
            <w:rtl w:val="true"/>
          </w:rPr>
          <w:t>פקודת  התעבורה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נוסח חדש</w:t>
      </w:r>
      <w:r>
        <w:rPr>
          <w:sz w:val="22"/>
          <w:rtl w:val="true"/>
        </w:rPr>
        <w:t>]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hyperlink r:id="rId20">
        <w:r>
          <w:rPr>
            <w:rStyle w:val="Hyperlink"/>
            <w:sz w:val="22"/>
            <w:sz w:val="22"/>
            <w:rtl w:val="true"/>
          </w:rPr>
          <w:t>פקודת התעבורה</w:t>
        </w:r>
      </w:hyperlink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שנעברו ב</w:t>
      </w:r>
      <w:r>
        <w:rPr>
          <w:sz w:val="22"/>
          <w:rtl w:val="true"/>
        </w:rPr>
        <w:t xml:space="preserve">- </w:t>
      </w:r>
      <w:r>
        <w:rPr>
          <w:sz w:val="22"/>
        </w:rPr>
        <w:t>6/1/06</w:t>
      </w:r>
      <w:r>
        <w:rPr>
          <w:sz w:val="22"/>
          <w:rtl w:val="true"/>
        </w:rPr>
        <w:t>,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ותיק </w:t>
      </w:r>
      <w:r>
        <w:rPr>
          <w:color w:val="000000"/>
          <w:sz w:val="22"/>
          <w:sz w:val="22"/>
          <w:rtl w:val="true"/>
        </w:rPr>
        <w:t>פ</w:t>
      </w:r>
      <w:r>
        <w:rPr>
          <w:color w:val="000000"/>
          <w:sz w:val="22"/>
          <w:rtl w:val="true"/>
        </w:rPr>
        <w:t>.</w:t>
      </w:r>
      <w:r>
        <w:rPr>
          <w:color w:val="000000"/>
          <w:sz w:val="22"/>
          <w:sz w:val="22"/>
          <w:rtl w:val="true"/>
        </w:rPr>
        <w:t>א</w:t>
      </w:r>
      <w:r>
        <w:rPr>
          <w:color w:val="000000"/>
          <w:sz w:val="22"/>
          <w:rtl w:val="true"/>
        </w:rPr>
        <w:t xml:space="preserve">.  </w:t>
      </w:r>
      <w:r>
        <w:rPr>
          <w:color w:val="000000"/>
          <w:sz w:val="22"/>
        </w:rPr>
        <w:t>5005/07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 תחנת משטרת מעונה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בו יוחס לנאשם ביצוע עבירה לפי </w:t>
      </w:r>
      <w:hyperlink r:id="rId21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ריישא  ל</w:t>
      </w:r>
      <w:hyperlink r:id="rId22">
        <w:r>
          <w:rPr>
            <w:rStyle w:val="Hyperlink"/>
            <w:sz w:val="22"/>
            <w:sz w:val="22"/>
            <w:rtl w:val="true"/>
          </w:rPr>
          <w:t>חוק 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ז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חוק העונשין</w:t>
      </w:r>
      <w:r>
        <w:rPr>
          <w:sz w:val="22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הנאשם הודה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באמצעות סניגוריתו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 בשלשת התיקים 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ל ולאור הודאתו מיום </w:t>
      </w:r>
      <w:r>
        <w:rPr>
          <w:sz w:val="22"/>
        </w:rPr>
        <w:t>26/12/06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 שבפניי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הורשע  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בישיבת יום  </w:t>
      </w:r>
      <w:r>
        <w:rPr>
          <w:sz w:val="22"/>
        </w:rPr>
        <w:t>27/4/07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 שיוחסו  לו בתיק  שבפניי ובשלשת התיקים אותם צירף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לאחר שהנאשם הורשע ובטרם טענו הצדדים 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הופנה הנאשם לשירות 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 קבלת תסקיר בעניינו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ההפנייה לקבלת תסקיר נעשתה  לבקשת הסניגורית ואי התנגדות 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 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שהבהירה  כי אין לראות באי התנגדותה  הסכמה של המאשימה לקבל את המלצת שירות המבחן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בהמשך היו מספר דחיות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במהלכן הוגשו שלשה  תסקירים 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 שירות 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הראשון מ</w:t>
      </w:r>
      <w:r>
        <w:rPr>
          <w:sz w:val="22"/>
          <w:rtl w:val="true"/>
        </w:rPr>
        <w:t xml:space="preserve">- </w:t>
      </w:r>
      <w:r>
        <w:rPr>
          <w:sz w:val="22"/>
        </w:rPr>
        <w:t>16/3/08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השני מ</w:t>
      </w:r>
      <w:r>
        <w:rPr>
          <w:sz w:val="22"/>
          <w:rtl w:val="true"/>
        </w:rPr>
        <w:t xml:space="preserve">- </w:t>
      </w:r>
      <w:r>
        <w:rPr>
          <w:sz w:val="22"/>
        </w:rPr>
        <w:t>10/06/08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והשלישי מ</w:t>
      </w:r>
      <w:r>
        <w:rPr>
          <w:sz w:val="22"/>
          <w:rtl w:val="true"/>
        </w:rPr>
        <w:t xml:space="preserve">- </w:t>
      </w:r>
      <w:r>
        <w:rPr>
          <w:sz w:val="22"/>
        </w:rPr>
        <w:t>23/11/08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מהתסקירים עולה תמונה של אדם מכור לסמים  קשים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שעשה בעבר  מספר נסיונות  גמילה שכשלו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 במהלך תקופת התנהלות התיק  שבפניי עשה  הנאשם נסיון להגמל מהסמים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באמצעות טיפול גמילה במסגרת מרכז מאמ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ץ וזו הסיבה העיקרית לדחיות שביקשה  קצינת המבחן מעת לעת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מהתסקיר  השלישי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שניתן כאמור ב</w:t>
      </w:r>
      <w:r>
        <w:rPr>
          <w:sz w:val="22"/>
          <w:rtl w:val="true"/>
        </w:rPr>
        <w:t xml:space="preserve">- </w:t>
      </w:r>
      <w:r>
        <w:rPr>
          <w:sz w:val="22"/>
        </w:rPr>
        <w:t>23/11/08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עולה כי גם הפעם  לא עלה  בידי הנאשם להיגמל והוא עודנו צורך 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להערכת קצינת 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התכנית הטיפולית במסגרת מרכז מאמ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 משולב הנאשם כיום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אינה מותאמת לצרכיו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לדעתה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 צורך בשילובו  של הנאשם בקהילה  טיפולית סגורה  וארוכת טווח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מאחר והנאשם אינו מוכן לכך בשל היותו עסוק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במציאת מסגרת תעסוקתית קבועה ויציבה בנסיון לבנות את חייו מחדש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ולשקמם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 החזרת  חובות כספיים אותם צבר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אין בתסקירים  המלצה טיפולית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 אין המלצה לעניין העונש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בעקבות האמור בתסקיר מיום </w:t>
      </w:r>
      <w:r>
        <w:rPr>
          <w:sz w:val="22"/>
        </w:rPr>
        <w:t>23/11/08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 ציינה קצינת המבחן כי אם הנאשם יצהיר בפני 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 שהוא מתחייב להשתלב  בקהילה טיפולית סגורה ואינטנסיבית לגמילה מסמים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תבקש קצינת המבחן את דחיית מתן גזר הדין לפרק זמן של חודשיים במהלכם יבחן שירות המבחן את מידת השתלבותו של הנאשם בהליך הגמילה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אמרה הסניגורית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בישיבת יום </w:t>
      </w:r>
      <w:r>
        <w:rPr>
          <w:sz w:val="22"/>
        </w:rPr>
        <w:t>25/11/08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כי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הנאשם מוכן להצהיר  זאת היום בפני 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וביקשה ליתן  לנאשם את האופציה לקבל את  טיפול הגמילה בקהילה סגורה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כ המאשימה  התנגדה לדחיות נוספות ובהחלטתי מיום </w:t>
      </w:r>
      <w:r>
        <w:rPr>
          <w:sz w:val="22"/>
        </w:rPr>
        <w:t>25/11/08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דחיתי את בקשת הסניגורית לדחייה נוספת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מהנימוקים שפורטו בהחלטה והוריתי  לצדדים לטעון באותו יום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בטיעוניה לעונש עתרה 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 המאשימה  להטיל על הנאשם עונש שיכלול מאסר 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 על תנאי  ופסילה בפועל של רשיון הנהיגה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 לאור חומרת העבירות ועברו של הנאשם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לעומתה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ביקשה שלא למצות את הדין עם הנאשם ולהסתפק בהטלת מאסר על תנאי ופסילה  על 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זאת לאור גילו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בן כ</w:t>
      </w:r>
      <w:r>
        <w:rPr>
          <w:sz w:val="22"/>
          <w:rtl w:val="true"/>
        </w:rPr>
        <w:t xml:space="preserve">- </w:t>
      </w:r>
      <w:r>
        <w:rPr>
          <w:sz w:val="22"/>
        </w:rPr>
        <w:t>38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הרקע להתמכרותו לסמים והעובדה שבשל אילוצים  כלכליים והצורך לעבוד קשה שעות רבות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התקשה הנאשם להתפנות מעבודתו כדי  להשתלב בהליך הגמילה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 רצונו הכן והאמיתי להיגמל ולצאת  ממעגל הסמים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לאחר ששקלתי בעניין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 שנתתי דעתי לטיעוני הצדדים ולאמור בתסקירים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הגעתי למסקנה  שאין מנוס מהטלת עונש מאסר בפועל משמעותי על 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 בנוסף לפסילת רשיון הנהיגה ולמאסר על 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 שיובהר להלן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 הינו בן כ</w:t>
      </w:r>
      <w:r>
        <w:rPr>
          <w:sz w:val="22"/>
          <w:rtl w:val="true"/>
        </w:rPr>
        <w:t xml:space="preserve">- </w:t>
      </w:r>
      <w:r>
        <w:rPr>
          <w:sz w:val="22"/>
        </w:rPr>
        <w:t>38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 מכור לסמים מזה 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נסיונות גמילה שנעשו על ידו בעבר כשלו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מעיון בגליון הרשעותיו הקודמות עולה  כי הנאשם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 xml:space="preserve">שעלה לארץ בשנת </w:t>
      </w:r>
      <w:r>
        <w:rPr>
          <w:sz w:val="22"/>
        </w:rPr>
        <w:t>1991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צבר החל משנת </w:t>
      </w:r>
      <w:r>
        <w:rPr>
          <w:sz w:val="22"/>
        </w:rPr>
        <w:t>1994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 קודמות  רבות בעבירות רכוש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אין חולקין שהרקע  לעבריינותו של הנאשם הינו התמכרותו  לסמים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 צורך להכביר  מילים על הסכנה הטמונה  לציבור</w:t>
      </w:r>
      <w:r>
        <w:rPr>
          <w:sz w:val="22"/>
          <w:rtl w:val="true"/>
        </w:rPr>
        <w:t xml:space="preserve">,   </w:t>
      </w:r>
      <w:r>
        <w:rPr>
          <w:sz w:val="22"/>
          <w:sz w:val="22"/>
          <w:rtl w:val="true"/>
        </w:rPr>
        <w:t>ובעיקר לרכוש 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מאדם  המכור לסמים שמצבו הכלכלי מאלץ אותו לבצע עבירות רכוש כדי  להשיג מימון לרכישת הסם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 שזה  במקרה שבפניי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כל זמן שהנאשם ימשיך להשתמש  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 ימשיך לעבור עבירות רכוש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במצב דברים 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הדרך היחידה להבטיח את רכוש הציבור  מפגיעתו הרעה  של 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 עוד לא נגמל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 בהשמתו מאחורי סורג ובריח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מה גם שהנאשם הורשע בפניי גם בביצוע עבירות של החזקת סם  שלא לצריכה  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נהיגה  בזמן פסילה והחזקת 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כשלעצמן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 חמורות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לא נעלם ממני שעבירת הרכוש  האחרונה שבגינה הורשע הנאשם בוצעה בשנת </w:t>
      </w:r>
      <w:r>
        <w:rPr>
          <w:sz w:val="22"/>
        </w:rPr>
        <w:t>1996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 אין בכך  כדי לשנות  לענייננו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שכן אין זה סוד שאחוז הגילוי של מבצעי  עבירות הרכוש  הוא נמוך  ביותר והעובדה שמאז  שנת </w:t>
      </w:r>
      <w:r>
        <w:rPr>
          <w:sz w:val="22"/>
        </w:rPr>
        <w:t>1996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 נתפס הנאשם מבצע עבירות רכוש אינה ראיה לכך שחדל לבצע עבירות רכוש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סיכומו של 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מוטל על הנאשם עונש כדלקמן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  <w:t>*</w:t>
        <w:tab/>
      </w:r>
      <w:r>
        <w:rPr>
          <w:sz w:val="22"/>
          <w:sz w:val="22"/>
          <w:rtl w:val="true"/>
        </w:rPr>
        <w:t xml:space="preserve">מאסר לתקופה של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  <w:t>*</w:t>
        <w:tab/>
      </w:r>
      <w:r>
        <w:rPr>
          <w:sz w:val="22"/>
          <w:sz w:val="22"/>
          <w:rtl w:val="true"/>
        </w:rPr>
        <w:t xml:space="preserve">מאסר על תנאי לתקופה של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למשך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 מיום שחרורו מהמאסר שהוטל עליו בתיק 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 הוא  כי הנאשם לא יעבור  בתקופה זו כל עבירה מסוג פשע לפי  פקודת הסמים 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 xml:space="preserve">או עבירה  לפי </w:t>
      </w:r>
      <w:hyperlink r:id="rId23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2"/>
            <w:u w:val="single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4">
        <w:r>
          <w:rPr>
            <w:rStyle w:val="Hyperlink"/>
            <w:sz w:val="22"/>
            <w:sz w:val="22"/>
            <w:rtl w:val="true"/>
          </w:rPr>
          <w:t>חוק העונשין</w:t>
        </w:r>
      </w:hyperlink>
      <w:r>
        <w:rPr>
          <w:sz w:val="22"/>
          <w:sz w:val="22"/>
          <w:rtl w:val="true"/>
        </w:rPr>
        <w:t xml:space="preserve"> 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 xml:space="preserve">או עבירה  לפי </w:t>
      </w:r>
      <w:hyperlink r:id="rId25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2"/>
            <w:u w:val="single"/>
          </w:rPr>
          <w:t>67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6">
        <w:r>
          <w:rPr>
            <w:rStyle w:val="Hyperlink"/>
            <w:sz w:val="22"/>
            <w:sz w:val="22"/>
            <w:rtl w:val="true"/>
          </w:rPr>
          <w:t>פקודת התעבורה</w:t>
        </w:r>
      </w:hyperlink>
      <w:r>
        <w:rPr>
          <w:sz w:val="22"/>
          <w:sz w:val="22"/>
          <w:rtl w:val="true"/>
        </w:rPr>
        <w:t xml:space="preserve">  ויורשע עליה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  <w:t>*</w:t>
        <w:tab/>
      </w:r>
      <w:r>
        <w:rPr>
          <w:sz w:val="22"/>
          <w:sz w:val="22"/>
          <w:rtl w:val="true"/>
        </w:rPr>
        <w:t xml:space="preserve">מאסר על תנאי לתקופה של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חודשים למשך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  מהיום והתנאי הוא כי הנאשם לא יעבור בתקופה זו כל עבירה מסוג עוון לפי פקודת הסמים ויורשע עליה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  <w:t>*</w:t>
        <w:tab/>
      </w:r>
      <w:r>
        <w:rPr>
          <w:sz w:val="22"/>
          <w:sz w:val="22"/>
          <w:rtl w:val="true"/>
        </w:rPr>
        <w:t xml:space="preserve">לאור העובדה שהנאשם הורשע בפניי בשתי עבירות לפי </w:t>
      </w:r>
      <w:hyperlink r:id="rId27"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 +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) </w:t>
        </w:r>
      </w:hyperlink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סייפא לפקודת הסמים והעובדה  שהוא עודנו משתמש 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כעולה מהתסקירים   ובתוקף סמכותי מכח   הוראות </w:t>
      </w:r>
      <w:hyperlink r:id="rId2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37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א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לפקודת הסמים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אני פוסל את הנאשם מלקבל 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 xml:space="preserve">או להחזיק  רשיון נהיגה לתקופה של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תוקף הפסילה  מיום שחרורו של הנאשם  מהמאסר שהוטל עליו בתיק הנוכחי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 אם כן יהיה תלוי ועומד נגדו באותה  עת עונש פסילה קודם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שאז תהיה הפסילה במצטבר לפסילה הקיימת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בטרם אסיים  אינני יכול שלא להמליץ לנאשם לשקול לבקש לעבור הליך  גמילה בין כותלי 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 אם לא ייגמל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 ירחק היום  בו ישוב למצוא  את עצמו על ספסל הנאשמים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רק גמילתו תביא ליציאתו מעולם הסמים והפשע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הנני להמליץ בפני רשויות 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  לשלב את הנאשם  בהליך גמילה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בתקופת מאסרו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 יביע נכונות  לעבור טיפול גמילה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 xml:space="preserve">הנני מורה על השמדת המוצגים  בכל התיקים 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2"/>
        </w:rPr>
      </w:pPr>
      <w:r>
        <w:rPr>
          <w:sz w:val="22"/>
          <w:sz w:val="22"/>
          <w:rtl w:val="true"/>
        </w:rPr>
        <w:t xml:space="preserve">הודע כי לצדדים זכות ערעור תוך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 מהיום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03/12/2008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הסניגורית ובהעדר 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משה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אלטר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הסניגורית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אבקש עיכוב ביצוע  עונש המאסר כי בכוונתנו לשקול הגשת ערעור</w:t>
      </w:r>
      <w:r>
        <w:rPr>
          <w:rtl w:val="true"/>
        </w:rPr>
        <w:t xml:space="preserve">.  </w:t>
      </w:r>
      <w:r>
        <w:rPr>
          <w:rtl w:val="true"/>
        </w:rPr>
        <w:t>בנוסף הנאשם רוצה להתארגן</w:t>
      </w:r>
      <w:r>
        <w:rPr>
          <w:rtl w:val="true"/>
        </w:rPr>
        <w:t xml:space="preserve">, </w:t>
      </w:r>
      <w:r>
        <w:rPr>
          <w:rtl w:val="true"/>
        </w:rPr>
        <w:t>למקרה ולא יוגש ערעור והוא ייכנס לכלא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משאירה לשיקול דעת</w:t>
      </w:r>
      <w:r>
        <w:rPr>
          <w:rtl w:val="true"/>
        </w:rPr>
        <w:t xml:space="preserve">. </w:t>
      </w:r>
      <w:r>
        <w:rPr>
          <w:rtl w:val="true"/>
        </w:rPr>
        <w:t>במידה וביהמ</w:t>
      </w:r>
      <w:r>
        <w:rPr>
          <w:rtl w:val="true"/>
        </w:rPr>
        <w:t>"</w:t>
      </w:r>
      <w:r>
        <w:rPr>
          <w:rtl w:val="true"/>
        </w:rPr>
        <w:t>ש ייעתר לבקשה אבקש שביהמ</w:t>
      </w:r>
      <w:r>
        <w:rPr>
          <w:rtl w:val="true"/>
        </w:rPr>
        <w:t>"</w:t>
      </w:r>
      <w:r>
        <w:rPr>
          <w:rtl w:val="true"/>
        </w:rPr>
        <w:t>ש יטיל ערבויות מתאימות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אני מורה כי הנאשם יתחיל לרצות את עונש המאסר החל מיום </w:t>
      </w:r>
      <w:r>
        <w:rPr/>
        <w:t>1/1/09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הנאשם יתייצב ביום </w:t>
      </w:r>
      <w:r>
        <w:rPr/>
        <w:t>1/1/09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09.00</w:t>
      </w:r>
      <w:r>
        <w:rPr>
          <w:rtl w:val="true"/>
        </w:rPr>
        <w:t xml:space="preserve"> </w:t>
      </w:r>
      <w:r>
        <w:rPr>
          <w:rtl w:val="true"/>
        </w:rPr>
        <w:t>בבית מעצר קישון</w:t>
      </w:r>
      <w:r>
        <w:rPr>
          <w:rtl w:val="true"/>
        </w:rPr>
        <w:t xml:space="preserve">, </w:t>
      </w:r>
      <w:r>
        <w:rPr>
          <w:rtl w:val="true"/>
        </w:rPr>
        <w:t>לצורך תחילת ריצוי עונש המאסר</w:t>
      </w:r>
      <w:r>
        <w:rPr>
          <w:rtl w:val="true"/>
        </w:rPr>
        <w:t xml:space="preserve">, </w:t>
      </w:r>
      <w:r>
        <w:rPr>
          <w:rtl w:val="true"/>
        </w:rPr>
        <w:t>אלא אם כן יוגש ערעור וערכאת הערעור תורה על עיכוב נוסף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דחיית ביצוע עונש המאסר מותנית בכך שהנאשם יפקיד עוד היום במזכירות ביהמ</w:t>
      </w:r>
      <w:r>
        <w:rPr>
          <w:rtl w:val="true"/>
        </w:rPr>
        <w:t>"</w:t>
      </w:r>
      <w:r>
        <w:rPr>
          <w:rtl w:val="true"/>
        </w:rPr>
        <w:t xml:space="preserve">ש התחייבות עצמית </w:t>
      </w:r>
      <w:r>
        <w:rPr>
          <w:rtl w:val="true"/>
        </w:rPr>
        <w:t xml:space="preserve">+ </w:t>
      </w:r>
      <w:r>
        <w:rPr>
          <w:rtl w:val="true"/>
        </w:rPr>
        <w:t>ערבות צד ג</w:t>
      </w:r>
      <w:r>
        <w:rPr>
          <w:rtl w:val="true"/>
        </w:rPr>
        <w:t xml:space="preserve">' </w:t>
      </w:r>
      <w:r>
        <w:rPr>
          <w:rtl w:val="true"/>
        </w:rPr>
        <w:t xml:space="preserve">על 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כל אחת</w:t>
      </w:r>
      <w:r>
        <w:rPr>
          <w:rtl w:val="true"/>
        </w:rPr>
        <w:t xml:space="preserve">, </w:t>
      </w:r>
      <w:r>
        <w:rPr>
          <w:rtl w:val="true"/>
        </w:rPr>
        <w:t>להבטחת התייצבותו לריצוי עונש המאסר</w:t>
      </w:r>
      <w:r>
        <w:rPr>
          <w:rtl w:val="true"/>
        </w:rPr>
        <w:t xml:space="preserve">. </w:t>
      </w:r>
      <w:r>
        <w:rPr>
          <w:rtl w:val="true"/>
        </w:rPr>
        <w:t>בהעדר הפקדה</w:t>
      </w:r>
      <w:r>
        <w:rPr>
          <w:rtl w:val="true"/>
        </w:rPr>
        <w:t xml:space="preserve">, </w:t>
      </w:r>
      <w:r>
        <w:rPr>
          <w:rtl w:val="true"/>
        </w:rPr>
        <w:t>יתחיל הנאשם לרצות את עונש המאסר כבר 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אלטר </w:t>
      </w:r>
      <w:r>
        <w:rPr>
          <w:color w:val="000000"/>
          <w:sz w:val="22"/>
          <w:szCs w:val="22"/>
        </w:rPr>
        <w:t>54678313-2991/06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FrankRuehl"/>
              </w:rPr>
            </w:pPr>
            <w:r>
              <w:rPr>
                <w:b/>
                <w:b/>
                <w:bCs/>
                <w:rtl w:val="true"/>
              </w:rPr>
              <w:t>ניתנה והודעה היום ו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כסלו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03/12/2008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משה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אלטר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למזכירות</w:t>
      </w:r>
      <w:r>
        <w:rPr>
          <w:rtl w:val="true"/>
        </w:rPr>
        <w:t xml:space="preserve">: </w:t>
      </w:r>
      <w:r>
        <w:rPr>
          <w:rtl w:val="true"/>
        </w:rPr>
        <w:t>נא לשלוח את העתק גזר הדין לשירות 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/Users/liorb/Downloads/study2025-p2/SH-06-2991.doc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2991-06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ויטלי דרוטמן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991-06"/>
    <w:docVar w:name="caseId" w:val="3063328"/>
    <w:docVar w:name="deriveClass" w:val="NGCS.Protocol.BL.Client.ProtocolBLClientCriminal"/>
    <w:docVar w:name="firstPageNumber" w:val="7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81240"/>
    <w:docVar w:name="releaseSign" w:val="0"/>
    <w:docVar w:name="sittingDateTime" w:val="03/12/2008 14:00     "/>
    <w:docVar w:name="sittingId" w:val="1224780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37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6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4216/7.a.;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.;7.c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law/4216/10" TargetMode="External"/><Relationship Id="rId18" Type="http://schemas.openxmlformats.org/officeDocument/2006/relationships/hyperlink" Target="http://www.nevo.co.il/law/5227/67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5227/67" TargetMode="External"/><Relationship Id="rId26" Type="http://schemas.openxmlformats.org/officeDocument/2006/relationships/hyperlink" Target="http://www.nevo.co.il/law/5227" TargetMode="External"/><Relationship Id="rId27" Type="http://schemas.openxmlformats.org/officeDocument/2006/relationships/hyperlink" Target="http://www.nevo.co.il/law/4216/7.a.;7.c" TargetMode="External"/><Relationship Id="rId28" Type="http://schemas.openxmlformats.org/officeDocument/2006/relationships/hyperlink" Target="http://www.nevo.co.il/law/4216/37a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2016-08-31T14:12:00Z</dcterms:created>
  <dc:creator>Shahar Goldstein</dc:creator>
  <dc:description/>
  <cp:keywords/>
  <dc:language>en-IL</dc:language>
  <cp:lastModifiedBy>run</cp:lastModifiedBy>
  <cp:lastPrinted>2008-12-03T14:32:00Z</cp:lastPrinted>
  <dcterms:modified xsi:type="dcterms:W3CDTF">2016-08-31T14:12:00Z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ויטלי דרוטמן</vt:lpwstr>
  </property>
  <property fmtid="{D5CDD505-2E9C-101B-9397-08002B2CF9AE}" pid="4" name="CASENOTES1">
    <vt:lpwstr>ProcID=154;184&amp;PartA=5005&amp;PartC=07</vt:lpwstr>
  </property>
  <property fmtid="{D5CDD505-2E9C-101B-9397-08002B2CF9AE}" pid="5" name="CASENOTES2">
    <vt:lpwstr>ProcID=209&amp;PartA=3469&amp;PartC=06</vt:lpwstr>
  </property>
  <property fmtid="{D5CDD505-2E9C-101B-9397-08002B2CF9AE}" pid="6" name="CASESLISTTMP1">
    <vt:lpwstr>2317524</vt:lpwstr>
  </property>
  <property fmtid="{D5CDD505-2E9C-101B-9397-08002B2CF9AE}" pid="7" name="CITY">
    <vt:lpwstr>עכו</vt:lpwstr>
  </property>
  <property fmtid="{D5CDD505-2E9C-101B-9397-08002B2CF9AE}" pid="8" name="DATE">
    <vt:lpwstr>20081203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משה אלטר</vt:lpwstr>
  </property>
  <property fmtid="{D5CDD505-2E9C-101B-9397-08002B2CF9AE}" pid="12" name="LAWLISTTMP1">
    <vt:lpwstr>4216/007.a:5;007.c:5;010;037a</vt:lpwstr>
  </property>
  <property fmtid="{D5CDD505-2E9C-101B-9397-08002B2CF9AE}" pid="13" name="LAWLISTTMP2">
    <vt:lpwstr>5227/067:2</vt:lpwstr>
  </property>
  <property fmtid="{D5CDD505-2E9C-101B-9397-08002B2CF9AE}" pid="14" name="LAWLISTTMP3">
    <vt:lpwstr>70301/144.a;144</vt:lpwstr>
  </property>
  <property fmtid="{D5CDD505-2E9C-101B-9397-08002B2CF9AE}" pid="15" name="LAWYER">
    <vt:lpwstr>הלנה עראף;מיכל דוידי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>2991</vt:lpwstr>
  </property>
  <property fmtid="{D5CDD505-2E9C-101B-9397-08002B2CF9AE}" pid="29" name="NEWPARTB">
    <vt:lpwstr/>
  </property>
  <property fmtid="{D5CDD505-2E9C-101B-9397-08002B2CF9AE}" pid="30" name="NEWPARTC">
    <vt:lpwstr>06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>2991</vt:lpwstr>
  </property>
  <property fmtid="{D5CDD505-2E9C-101B-9397-08002B2CF9AE}" pid="37" name="PROCYEAR">
    <vt:lpwstr>06</vt:lpwstr>
  </property>
  <property fmtid="{D5CDD505-2E9C-101B-9397-08002B2CF9AE}" pid="38" name="PSAKDIN">
    <vt:lpwstr>גזר-דין</vt:lpwstr>
  </property>
  <property fmtid="{D5CDD505-2E9C-101B-9397-08002B2CF9AE}" pid="39" name="TYPE">
    <vt:lpwstr>3</vt:lpwstr>
  </property>
  <property fmtid="{D5CDD505-2E9C-101B-9397-08002B2CF9AE}" pid="40" name="TYPE_ABS_DATE">
    <vt:lpwstr>380020081203</vt:lpwstr>
  </property>
  <property fmtid="{D5CDD505-2E9C-101B-9397-08002B2CF9AE}" pid="41" name="TYPE_N_DATE">
    <vt:lpwstr>38020081203</vt:lpwstr>
  </property>
  <property fmtid="{D5CDD505-2E9C-101B-9397-08002B2CF9AE}" pid="42" name="VOLUME">
    <vt:lpwstr/>
  </property>
  <property fmtid="{D5CDD505-2E9C-101B-9397-08002B2CF9AE}" pid="43" name="WORDNUMPAGES">
    <vt:lpwstr>5</vt:lpwstr>
  </property>
</Properties>
</file>