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29984-08-16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זועבי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יואל עדן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אדווה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ויצגן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זועבי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מסלחה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186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8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התעבורה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]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43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0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חוק סדר הדין הפלילי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משולב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תשמ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1982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186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3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סדר הדין הפלילי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מעצר וחיפוש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 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1969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39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  <w:tab/>
      </w:r>
      <w:bookmarkStart w:id="9" w:name="ABSTRACT_START"/>
      <w:bookmarkEnd w:id="9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ascii="Calibri" w:hAnsi="Calibri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("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rtl w:val="true"/>
        </w:rPr>
        <w:t>"),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והסתייעות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3">
        <w:r>
          <w:rPr>
            <w:rStyle w:val="Hyperlink"/>
            <w:rFonts w:ascii="Calibri" w:hAnsi="Calibri"/>
            <w:rtl w:val="true"/>
          </w:rPr>
          <w:t>פקודת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ascii="Calibri" w:hAnsi="Calibri"/>
            <w:rtl w:val="true"/>
          </w:rPr>
          <w:t>התעבורה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התשכ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1961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bookmarkStart w:id="10" w:name="ABSTRACT_END"/>
      <w:bookmarkEnd w:id="10"/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בנגב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בונקרים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הבונקרים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מאובטחים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בבונקר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אוחסנו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משוגרי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טילי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לאו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מפצח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טיל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מטאדור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המסוגל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אפריל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אבטחו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הבונקר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("</w:t>
      </w:r>
      <w:r>
        <w:rPr>
          <w:rFonts w:ascii="Calibri" w:hAnsi="Calibri" w:cs="Calibri"/>
          <w:b/>
          <w:b/>
          <w:bCs/>
          <w:rtl w:val="true"/>
        </w:rPr>
        <w:t>שאדי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זועבי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עדי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שאדי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29.4.2016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29.4.2017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לבונקר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פרצו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והוציאו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המטאדור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b/>
          <w:bCs/>
          <w:rtl w:val="true"/>
        </w:rPr>
        <w:t xml:space="preserve"> "</w:t>
      </w:r>
      <w:r>
        <w:rPr>
          <w:rFonts w:ascii="Calibri" w:hAnsi="Calibri" w:cs="Calibri"/>
          <w:b/>
          <w:b/>
          <w:bCs/>
          <w:rtl w:val="true"/>
        </w:rPr>
        <w:t>האמל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 </w:t>
      </w:r>
      <w:r>
        <w:rPr>
          <w:rFonts w:ascii="Calibri" w:hAnsi="Calibri" w:cs="Calibri"/>
          <w:rtl w:val="true"/>
        </w:rPr>
        <w:t>העמיסו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סגרו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הבונקר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השרשרת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הבונקר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נעול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במקביל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פולקסווגן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שאדי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לבסיס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לבונקר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וטיעונים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טע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סגן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זועבי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זועבי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לבונקר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נידונו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ים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ספציפי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השותפים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כקלף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מיקוח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שנגנבו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הרסני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4">
        <w:r>
          <w:rPr>
            <w:rStyle w:val="Hyperlink"/>
            <w:rFonts w:ascii="Calibri" w:hAnsi="Calibri"/>
            <w:rtl w:val="true"/>
          </w:rPr>
          <w:t>ע</w:t>
        </w:r>
        <w:r>
          <w:rPr>
            <w:rStyle w:val="Hyperlink"/>
            <w:rFonts w:cs="David" w:ascii="Calibri" w:hAnsi="Calibri"/>
            <w:rtl w:val="true"/>
          </w:rPr>
          <w:t>"</w:t>
        </w:r>
        <w:r>
          <w:rPr>
            <w:rStyle w:val="Hyperlink"/>
            <w:rFonts w:ascii="Calibri" w:hAnsi="Calibri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5833/07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18.11.2007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מוקפד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ובתעוזה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נפקא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בפיצוץ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18-12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בקצהו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השותפים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113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הוראת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7">
        <w:r>
          <w:rPr>
            <w:rStyle w:val="Hyperlink"/>
            <w:rFonts w:ascii="Calibri" w:hAnsi="Calibri"/>
            <w:rtl w:val="true"/>
          </w:rPr>
          <w:t>חסד</w:t>
        </w:r>
        <w:r>
          <w:rPr>
            <w:rStyle w:val="Hyperlink"/>
            <w:rFonts w:cs="David" w:ascii="Calibri" w:hAnsi="Calibri"/>
            <w:rtl w:val="true"/>
          </w:rPr>
          <w:t>"</w:t>
        </w:r>
        <w:r>
          <w:rPr>
            <w:rStyle w:val="Hyperlink"/>
            <w:rFonts w:ascii="Calibri" w:hAnsi="Calibri"/>
            <w:rtl w:val="true"/>
          </w:rPr>
          <w:t>פ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להרשיע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</w:t>
      </w:r>
      <w:r>
        <w:rPr>
          <w:rFonts w:ascii="Calibri" w:hAnsi="Calibri" w:cs="Calibri"/>
          <w:rtl w:val="true"/>
        </w:rPr>
        <w:t xml:space="preserve">ד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המקסימאלי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השותפים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הדומיננטי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הקצין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הדומיננטיות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המקסימאלי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להרשעותיו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סנקציה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הערכים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המוגנים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באינטרסים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לבונקר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הגנוב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276" w:before="0" w:after="20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הפוטנציאל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360" w:end="851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firstLine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28">
        <w:r>
          <w:rPr>
            <w:rStyle w:val="Hyperlink"/>
            <w:rFonts w:cs="Arial" w:ascii="Arial" w:hAnsi="Arial"/>
            <w:color w:val="0000FF"/>
            <w:u w:val="single"/>
          </w:rPr>
          <w:t>1332/04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נח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541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נפסק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0" w:after="0"/>
        <w:ind w:start="1360" w:end="851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before="0" w:after="0"/>
        <w:ind w:start="1361" w:end="851"/>
        <w:contextualSpacing/>
        <w:jc w:val="both"/>
        <w:rPr/>
      </w:pPr>
      <w:r>
        <w:rPr>
          <w:rFonts w:cs="Guttman Keren" w:ascii="Calibri" w:hAnsi="Calibri"/>
          <w:b/>
          <w:bCs/>
          <w:sz w:val="22"/>
          <w:szCs w:val="22"/>
          <w:rtl w:val="true"/>
        </w:rPr>
        <w:t>"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נכון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הדבר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רמת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הענישה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החזקת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אינה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גבוהה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הרי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שהמציאות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השוררת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בארץ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זמינותו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ורב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עוצמה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שיש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עמו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פוטנציאל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להסלמת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האלימות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העבריינית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והאידאולוגית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כאחד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מחייבת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מתן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ביטוי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עונשי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הולם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והחמרה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ברמת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הענישה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". 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cs="David" w:ascii="David" w:hAnsi="David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הנועזות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היקפו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שנגנב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וסוגו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בהכרעת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ולמשמעות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המטאדור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הנוסף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מהעדויות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המטאדור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נגנב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ביטחונית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והוגדר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שיוויון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רימוני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רסס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–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והמסקנה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בגניבת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וחשיבות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היקף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הפעילות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בתעוזה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המדוקדק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ובהגעה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ממקומות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והחבאת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רחבת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מבצעים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התכנית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והוצאתה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משמעותה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איחסון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התפוצץ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להחזקתו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להרתעה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rtl w:val="true"/>
          </w:rPr>
          <w:t>רע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9112/11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31.12.2012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נפסק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440" w:start="1440" w:end="907"/>
        <w:jc w:val="both"/>
        <w:rPr>
          <w:rFonts w:ascii="Arial TUR;Arial" w:hAnsi="Arial TUR;Arial" w:cs="Arial TUR;Arial"/>
          <w:b/>
          <w:bCs/>
          <w:highlight w:val="yellow"/>
        </w:rPr>
      </w:pPr>
      <w:r>
        <w:rPr>
          <w:rFonts w:cs="Arial TUR;Arial" w:ascii="Arial TUR;Arial" w:hAnsi="Arial TUR;Arial"/>
          <w:b/>
          <w:bCs/>
          <w:highlight w:val="yellow"/>
          <w:rtl w:val="true"/>
        </w:rPr>
      </w:r>
    </w:p>
    <w:p>
      <w:pPr>
        <w:pStyle w:val="Normal"/>
        <w:spacing w:before="0" w:after="0"/>
        <w:ind w:start="1440" w:end="851"/>
        <w:contextualSpacing/>
        <w:jc w:val="both"/>
        <w:rPr/>
      </w:pPr>
      <w:r>
        <w:rPr>
          <w:rFonts w:cs="Guttman Keren" w:ascii="Calibri" w:hAnsi="Calibri"/>
          <w:b/>
          <w:bCs/>
          <w:sz w:val="22"/>
          <w:szCs w:val="22"/>
          <w:rtl w:val="true"/>
        </w:rPr>
        <w:t>"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מכירת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כלי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[...]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מסכנת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יותר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הציבור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מאשר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קנייתם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" (</w:t>
      </w:r>
      <w:hyperlink r:id="rId30"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</w:rPr>
          <w:t>1121/11</w:t>
        </w:r>
      </w:hyperlink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  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אזולאי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</w:rPr>
        <w:t>23.11.2011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),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ואין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ספק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פוטנציאל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הנזק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שיש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המלווה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הסיכון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האמור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צריך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לקבל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ביטוי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בעונש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הנגזר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החוטא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בביצוע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העבירות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האמורות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."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440" w:start="1440" w:end="907"/>
        <w:jc w:val="both"/>
        <w:rPr>
          <w:rFonts w:ascii="Arial TUR;Arial" w:hAnsi="Arial TUR;Arial" w:cs="Arial TUR;Arial"/>
          <w:b/>
          <w:bCs/>
          <w:sz w:val="22"/>
          <w:szCs w:val="22"/>
        </w:rPr>
      </w:pPr>
      <w:r>
        <w:rPr>
          <w:rFonts w:cs="Arial TUR;Arial" w:ascii="Arial TUR;Arial" w:hAnsi="Arial TUR;Arial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נפסקו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31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1121/11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אזולאי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23.11.2011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לענייננו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440" w:start="1440" w:end="907"/>
        <w:jc w:val="both"/>
        <w:rPr>
          <w:rFonts w:ascii="Arial TUR;Arial" w:hAnsi="Arial TUR;Arial" w:cs="Arial TUR;Arial"/>
          <w:b/>
          <w:bCs/>
        </w:rPr>
      </w:pPr>
      <w:r>
        <w:rPr>
          <w:rFonts w:cs="Arial TUR;Arial" w:ascii="Arial TUR;Arial" w:hAnsi="Arial TUR;Arial"/>
          <w:b/>
          <w:bCs/>
          <w:rtl w:val="true"/>
        </w:rPr>
      </w:r>
    </w:p>
    <w:p>
      <w:pPr>
        <w:pStyle w:val="Normal"/>
        <w:spacing w:before="0" w:after="0"/>
        <w:ind w:start="1440" w:end="851"/>
        <w:contextualSpacing/>
        <w:jc w:val="both"/>
        <w:rPr>
          <w:rFonts w:ascii="Calibri" w:hAnsi="Calibri" w:cs="Calibri"/>
          <w:b/>
          <w:bCs/>
        </w:rPr>
      </w:pPr>
      <w:r>
        <w:rPr>
          <w:rFonts w:cs="Guttman Keren" w:ascii="Calibri" w:hAnsi="Calibri"/>
          <w:b/>
          <w:bCs/>
          <w:sz w:val="22"/>
          <w:szCs w:val="22"/>
          <w:rtl w:val="true"/>
        </w:rPr>
        <w:t>"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סחר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הוא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תופעה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מסוכנת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במיוחד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בימינו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אלה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הניסיון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מלמד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מקורו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מפוקפק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לאחר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שהוא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יוצא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מידי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המחזיק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בו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מוצא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דרכו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לידיים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עברייניות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למפגעים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למיניהם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והרי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אלה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אלה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כבר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הוכיחו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אין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מהססים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להשתמש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במקומות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סואנים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וגם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כאשר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ברור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עלולים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להיפגע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מהירי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אנשים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תמימים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שנקלעו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לזירה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בדרך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מקרה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לפיכך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התרענו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בעבר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ונחזור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ונתריע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הפעם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החוטא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מסוג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זה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עלול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להידרש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לשלם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מחיר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יקר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ואף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באובדן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חירותו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לתקופה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ממושכת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" (</w:t>
      </w:r>
      <w:hyperlink r:id="rId32"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</w:rPr>
          <w:t>5833/07</w:t>
        </w:r>
      </w:hyperlink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'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ורי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([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פורסם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בנבו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], </w:t>
      </w:r>
      <w:r>
        <w:rPr>
          <w:rFonts w:cs="Guttman Keren" w:ascii="Calibri" w:hAnsi="Calibri"/>
          <w:b/>
          <w:bCs/>
          <w:sz w:val="22"/>
          <w:szCs w:val="22"/>
        </w:rPr>
        <w:t>18.11.2007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))"".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והיקפו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עותרת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12-18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המבוקש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</w:t>
      </w:r>
      <w:r>
        <w:rPr>
          <w:rFonts w:ascii="David" w:hAnsi="David"/>
          <w:rtl w:val="true"/>
        </w:rPr>
        <w:t>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להלן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ונסיבותיו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לענייננו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המקסימלי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בהחלת</w:t>
      </w:r>
      <w:r>
        <w:rPr>
          <w:rFonts w:ascii="David" w:hAnsi="David"/>
          <w:rtl w:val="true"/>
        </w:rPr>
        <w:t xml:space="preserve">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186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4">
        <w:r>
          <w:rPr>
            <w:rStyle w:val="Hyperlink"/>
            <w:rFonts w:ascii="David" w:hAnsi="David"/>
            <w:rtl w:val="true"/>
          </w:rPr>
          <w:t>חוק</w:t>
        </w:r>
        <w:r>
          <w:rPr>
            <w:rStyle w:val="Hyperlink"/>
            <w:rFonts w:ascii="David" w:hAnsi="David"/>
            <w:rtl w:val="true"/>
          </w:rPr>
          <w:t xml:space="preserve">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המפורטות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בהכרעת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בהכרעת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המפורטים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בהכרעת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אוחסן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ונפרד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המקסימלית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האפשרית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עותרת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שהועלו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יסודות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בהכרעת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הכרעת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מפרטת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יסודות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בהכרעת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השותפים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כחלקם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תחי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ואיחסונו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שתוכנן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בתעוזה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להלן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לאבחנה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ב</w:t>
      </w:r>
      <w:hyperlink r:id="rId35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6542/11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מוקטראן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25.2.2013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והוטלו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6.5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שהוטלו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ב</w:t>
      </w:r>
      <w:hyperlink r:id="rId36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7268/11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גרבאן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8.8.2012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המערער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</w:t>
      </w:r>
      <w:r>
        <w:rPr>
          <w:rFonts w:cs="David" w:ascii="David" w:hAnsi="David"/>
        </w:rPr>
        <w:t>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ומטול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רימונים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והוטלו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6074/93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כץ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17.4.1994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המערערים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שגנבו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מבונקר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ארגזי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רימוני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רסס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</w:t>
      </w:r>
      <w:r>
        <w:rPr>
          <w:rFonts w:cs="David" w:ascii="David" w:hAnsi="David"/>
        </w:rPr>
        <w:t>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שיבוש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ושיבוש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הבן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הערעור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ב</w:t>
      </w:r>
      <w:hyperlink r:id="rId38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2606/13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מוחמד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חוסני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2.2.2014</w:t>
      </w:r>
      <w:r>
        <w:rPr>
          <w:rFonts w:cs="David" w:ascii="David" w:hAnsi="David"/>
          <w:rtl w:val="true"/>
        </w:rPr>
        <w:t>) –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בחומרתו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מגיל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3-7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1.5-5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  <w:i/>
          <w:i/>
          <w:iCs/>
        </w:rPr>
      </w:pPr>
      <w:r>
        <w:rPr>
          <w:rFonts w:cs="David" w:ascii="David" w:hAnsi="David"/>
          <w:i/>
          <w:iCs/>
          <w:rtl w:val="true"/>
        </w:rPr>
      </w:r>
    </w:p>
    <w:p>
      <w:pPr>
        <w:pStyle w:val="Normal"/>
        <w:spacing w:before="0" w:after="0"/>
        <w:ind w:start="1440" w:end="851"/>
        <w:contextualSpacing/>
        <w:jc w:val="both"/>
        <w:rPr>
          <w:rFonts w:ascii="Calibri" w:hAnsi="Calibri" w:cs="Calibri"/>
          <w:b/>
          <w:bCs/>
        </w:rPr>
      </w:pPr>
      <w:r>
        <w:rPr>
          <w:rFonts w:cs="Guttman Keren" w:ascii="Calibri" w:hAnsi="Calibri"/>
          <w:b/>
          <w:bCs/>
          <w:sz w:val="22"/>
          <w:szCs w:val="22"/>
          <w:rtl w:val="true"/>
        </w:rPr>
        <w:t>"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דין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הערעור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להידחות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ונקדים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ונזכיר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אין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דרכה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ערכאת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ערעור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להתערב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בגובה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העונש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אלא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במקרים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חריגים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סטייה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מרמת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הענישה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וממדיניות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הענישה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והמקרה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שבפנינו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אינו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נופל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בגדר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מקרים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אלה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....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מכתב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האישום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עולה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למערער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נגישות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לכלי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נשק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ושלושת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האישומים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כמכלול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מעידים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כך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שאין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מדובר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במעידה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פעמית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משפט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זה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חזר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והדגיש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בשנים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האחרונות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להחמיר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בענישה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כגון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דא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משיקולי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הרתעה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וגמול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נוכח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הזמינות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המדאיגה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כלי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במחוזותינו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והחשש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אלו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ישמשו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בסופו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יום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גורמים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פליליים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ועוינים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(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ראו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לדוגמה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hyperlink r:id="rId39"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</w:rPr>
          <w:t>1323/13</w:t>
        </w:r>
      </w:hyperlink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חסן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בפסקה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</w:rPr>
        <w:t>12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 (</w:t>
      </w:r>
      <w:r>
        <w:rPr>
          <w:rFonts w:cs="Guttman Keren" w:ascii="Calibri" w:hAnsi="Calibri"/>
          <w:b/>
          <w:bCs/>
          <w:sz w:val="22"/>
          <w:szCs w:val="22"/>
        </w:rPr>
        <w:t>5.6.2013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); </w:t>
      </w:r>
      <w:hyperlink r:id="rId40"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</w:rPr>
          <w:t>6985/12</w:t>
        </w:r>
      </w:hyperlink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כמאל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נפאפעה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(</w:t>
      </w:r>
      <w:r>
        <w:rPr>
          <w:rFonts w:cs="Guttman Keren" w:ascii="Calibri" w:hAnsi="Calibri"/>
          <w:b/>
          <w:bCs/>
          <w:sz w:val="22"/>
          <w:szCs w:val="22"/>
        </w:rPr>
        <w:t>17.3.2013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)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</w:t>
      </w:r>
      <w:hyperlink r:id="rId41"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</w:rPr>
          <w:t>2251/11</w:t>
        </w:r>
      </w:hyperlink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נפאע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(</w:t>
      </w:r>
      <w:r>
        <w:rPr>
          <w:rFonts w:cs="Guttman Keren" w:ascii="Calibri" w:hAnsi="Calibri"/>
          <w:b/>
          <w:bCs/>
          <w:sz w:val="22"/>
          <w:szCs w:val="22"/>
        </w:rPr>
        <w:t>4.12.2011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)).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כפי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שעולה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מפסק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דינו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משפט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קמא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הוא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לקח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בחשבון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השיקולים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השונים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הצריכים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לעניין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לרבות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שיקולי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הקולא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אותם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העלה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"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המערער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בפנינו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והעונש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שהושת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המערער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אינו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חורג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מרף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הענישה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באופן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המצדיק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התערבות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ערכאת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הערעור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. "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  <w:b/>
          <w:bCs/>
          <w:i/>
          <w:i/>
          <w:iCs/>
        </w:rPr>
      </w:pPr>
      <w:r>
        <w:rPr>
          <w:rFonts w:cs="David" w:ascii="David" w:hAnsi="David"/>
          <w:b/>
          <w:bCs/>
          <w:i/>
          <w:i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42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11475/04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חאלד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סוארכה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7.11.2005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i/>
          <w:iCs/>
          <w:rtl w:val="true"/>
        </w:rPr>
        <w:t xml:space="preserve"> </w:t>
      </w:r>
      <w:r>
        <w:rPr>
          <w:rFonts w:ascii="David" w:hAnsi="David"/>
          <w:rtl w:val="true"/>
        </w:rPr>
        <w:t>המשיבים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יבוא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שקשרו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להבריח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ממצרים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ונפגשו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מטול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RPG</w:t>
      </w:r>
      <w:r>
        <w:rPr>
          <w:rFonts w:cs="David" w:ascii="David" w:hAnsi="David"/>
        </w:rPr>
        <w:t xml:space="preserve"> , 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רקטות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RPG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קתות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והעבירו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המשיבים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להתערב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before="0" w:after="0"/>
        <w:ind w:start="1440" w:end="851"/>
        <w:contextualSpacing/>
        <w:jc w:val="both"/>
        <w:rPr>
          <w:rFonts w:ascii="Calibri" w:hAnsi="Calibri" w:cs="Calibri"/>
          <w:b/>
          <w:bCs/>
        </w:rPr>
      </w:pPr>
      <w:r>
        <w:rPr>
          <w:rFonts w:cs="Guttman Keren" w:ascii="Calibri" w:hAnsi="Calibri"/>
          <w:b/>
          <w:bCs/>
          <w:sz w:val="22"/>
          <w:szCs w:val="22"/>
          <w:rtl w:val="true"/>
        </w:rPr>
        <w:t>"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עבירות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בהן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הורשעו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המשיבים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עבירות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חמורות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ביותר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העונש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המוטל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בגינן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להיות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חמור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אף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הוא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כדי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לשקף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רמה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גבוהה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הרתעה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(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השוו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: </w:t>
      </w:r>
      <w:hyperlink r:id="rId43"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sz w:val="22"/>
            <w:sz w:val="22"/>
            <w:szCs w:val="22"/>
            <w:rtl w:val="true"/>
          </w:rPr>
          <w:t xml:space="preserve">  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</w:rPr>
          <w:t>4831/03</w:t>
        </w:r>
      </w:hyperlink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אבו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בכר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(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פורסם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); </w:t>
      </w:r>
      <w:hyperlink r:id="rId44"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</w:rPr>
          <w:t>4609/98</w:t>
        </w:r>
      </w:hyperlink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טאהא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(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פורסם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)).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הדברים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נכונים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ביתר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לעת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הזו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השימוש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ההולך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וגובר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בחצי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האי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סיני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כנתיב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להברחות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לשטחי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והרשות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הפלשתינית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והחשש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המיידי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והוודאי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זה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יביא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לשפיכות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דמים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מצריכים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ענישה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מחמירה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. "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היום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במצב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נמצאת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טמונה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סחר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ויבוא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לארץ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סכנת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חיים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ממש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ונראה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סכנה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זו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רק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מחמירה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והולכת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" (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גזר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דינו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המחוזי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). "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מניעת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הברחות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אלה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...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בה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בבירור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כדי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לסכל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עשרות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ואף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מאות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פיגועים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בעתיד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ותחסוך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שפיכות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דמים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בקרב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הישראלים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והפלסטינים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" (</w:t>
      </w:r>
      <w:hyperlink r:id="rId45"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ת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  <w:rtl w:val="true"/>
          </w:rPr>
          <w:t>.</w:t>
        </w:r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  <w:rtl w:val="true"/>
          </w:rPr>
          <w:t>. (</w:t>
        </w:r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ב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ש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  <w:rtl w:val="true"/>
          </w:rPr>
          <w:t xml:space="preserve">) 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</w:rPr>
          <w:t>8076/04</w:t>
        </w:r>
      </w:hyperlink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בניית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(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פורסם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)).."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מדובר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בכלי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הסכנה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המוחשית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הקרובה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לוודאות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(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וודאות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לחלוטין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)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הטמונה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בהם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יעדם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הוא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לידי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גורמים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עוינים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שישתמשו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בהם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לביצוע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הרג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וטרור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אזרחי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המדינה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ותושביה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הינה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ניבטת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וגלויה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בעליל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" (</w:t>
      </w:r>
      <w:hyperlink r:id="rId46"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ת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  <w:rtl w:val="true"/>
          </w:rPr>
          <w:t>.</w:t>
        </w:r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  <w:rtl w:val="true"/>
          </w:rPr>
          <w:t>(</w:t>
        </w:r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ב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ש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  <w:rtl w:val="true"/>
          </w:rPr>
          <w:t xml:space="preserve">) 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</w:rPr>
          <w:t>8174/04</w:t>
        </w:r>
      </w:hyperlink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מוהנא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(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פורסם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)).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בנתיב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הברחות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זה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מהווים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תושבי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חצי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האי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סיני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, "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המצויים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בכל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נקיק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ורגב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אדמה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ברחבי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סיני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",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חוליה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חיונית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בשרשרת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(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ת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.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. (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"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)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אלחוסה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(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פורסם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)).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כשהם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משמשים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בלדרים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בלבד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סיועם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הכרחי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להעברת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ממצרים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ענישה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ממשית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עבריינים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אלו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עשויה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לעצור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קיומו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נתיב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הברחות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זה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....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מעשיהם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יהיו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מניעיהם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יהיו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מחייבים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ענישה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מחמירה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להטיל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בגינם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רמת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ענישה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יהא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כדי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להרתיע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המשיבים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ושכמותם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ממעשים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דומים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בעתיד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כן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אנו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מקבלים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הערעור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ומעלים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עונשם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באופן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משמעותי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בקביעת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העונש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אנו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מתחשבים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בנסיבותיהם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האישיות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כפי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שפורטו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בגזר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הדין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ובכך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שערכאת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הערעור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אינה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ממצה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רוב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הדין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הנאשמים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לאור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מכלול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השיקולים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אנו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מחמירים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עונש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המאסר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בפועל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שהוטל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המשיבים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ומעמידים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אותו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עשר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שנות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מאסר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."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ב</w:t>
      </w:r>
      <w:hyperlink r:id="rId47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2403/11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יוסף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סעלוק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6.6.2013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 –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ומשקפת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מתייחס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רלוונטיים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before="0" w:after="0"/>
        <w:ind w:start="1440" w:end="851"/>
        <w:contextualSpacing/>
        <w:jc w:val="both"/>
        <w:rPr/>
      </w:pPr>
      <w:r>
        <w:rPr>
          <w:rFonts w:cs="Guttman Keren" w:ascii="Calibri" w:hAnsi="Calibri"/>
          <w:b/>
          <w:bCs/>
          <w:sz w:val="22"/>
          <w:szCs w:val="22"/>
          <w:rtl w:val="true"/>
        </w:rPr>
        <w:t>"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חומרה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רבה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גלומה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סחר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בנשק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משפט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זה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התייחס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בעבר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למגוון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הסכנות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הרבות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הטמונות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במסחר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בלתי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חוקי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בציינו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:  "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הניסיון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מלמד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מקורו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מפוקפק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לאחר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שהוא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יוצא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מידי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המחזיק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בו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מוצא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דרכו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לידיים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עברייניות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למפגעים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למיניהם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והרי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אלה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אלה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כבר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הוכיחו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אין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מהססים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להשתמש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במקומות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סואנים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וגם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כאשר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ברור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עלולים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להיפגע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מהירי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אנשים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תמימים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שנקלעו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לזירה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בדרך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מקרה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לפיכך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התרענו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בעבר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ונחזור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ונתריע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הפעם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החוטא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מסוג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זה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עלול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להידרש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לשלם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מחיר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יקר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ואף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באובדן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חירותו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לתקופה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ממושכת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" </w:t>
      </w:r>
      <w:hyperlink r:id="rId48"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</w:rPr>
          <w:t>5833/07</w:t>
        </w:r>
      </w:hyperlink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'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ורי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[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פורסם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בנבו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] (</w:t>
      </w:r>
      <w:r>
        <w:rPr>
          <w:rFonts w:cs="Guttman Keren" w:ascii="Calibri" w:hAnsi="Calibri"/>
          <w:b/>
          <w:bCs/>
          <w:sz w:val="22"/>
          <w:szCs w:val="22"/>
        </w:rPr>
        <w:t>18.11.2007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);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וראו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hyperlink r:id="rId49"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Calibri" w:hAnsi="Calibri" w:cs="Guttman Keren"/>
            <w:b/>
            <w:b/>
            <w:bCs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rFonts w:cs="Guttman Keren" w:ascii="Calibri" w:hAnsi="Calibri"/>
            <w:b/>
            <w:bCs/>
            <w:sz w:val="22"/>
            <w:szCs w:val="22"/>
          </w:rPr>
          <w:t>2251/11</w:t>
        </w:r>
      </w:hyperlink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נפאע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בפס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cs="Guttman Keren" w:ascii="Calibri" w:hAnsi="Calibri"/>
          <w:b/>
          <w:bCs/>
          <w:sz w:val="22"/>
          <w:szCs w:val="22"/>
        </w:rPr>
        <w:t>5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 [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פורסם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בנבו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] (</w:t>
      </w:r>
      <w:r>
        <w:rPr>
          <w:rFonts w:cs="Guttman Keren" w:ascii="Calibri" w:hAnsi="Calibri"/>
          <w:b/>
          <w:bCs/>
          <w:sz w:val="22"/>
          <w:szCs w:val="22"/>
        </w:rPr>
        <w:t>4.12.2011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)).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נפסק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שיש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צורך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לנקוט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ברמת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ענישה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מחמירה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ובהעלאת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רף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הענישה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כאשר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עסקינן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נשק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זמינותו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ועוצמתו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ההרסנית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מימדיה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המדאיגים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תופעת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הסחר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הבלתי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חוקי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בנשק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הסכנה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להסלמת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האלימות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העבריינית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וקלות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ביצוע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העבירות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מחייבים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ענישה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הולמת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ומחמירה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כמובן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הדבר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כפוף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לנסיבותיו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הקונקרטיות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מקרה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ומקרה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(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"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Guttman Keren" w:ascii="Calibri" w:hAnsi="Calibri"/>
          <w:b/>
          <w:bCs/>
          <w:sz w:val="22"/>
          <w:szCs w:val="22"/>
        </w:rPr>
        <w:t>1332/04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פס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"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נח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(</w:t>
      </w:r>
      <w:r>
        <w:rPr>
          <w:rFonts w:cs="Guttman Keren" w:ascii="Calibri" w:hAnsi="Calibri"/>
          <w:b/>
          <w:bCs/>
          <w:sz w:val="22"/>
          <w:szCs w:val="22"/>
        </w:rPr>
        <w:t>5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) </w:t>
      </w:r>
      <w:r>
        <w:rPr>
          <w:rFonts w:cs="Guttman Keren" w:ascii="Calibri" w:hAnsi="Calibri"/>
          <w:b/>
          <w:bCs/>
          <w:sz w:val="22"/>
          <w:szCs w:val="22"/>
        </w:rPr>
        <w:t>541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cs="Guttman Keren" w:ascii="Calibri" w:hAnsi="Calibri"/>
          <w:b/>
          <w:bCs/>
          <w:sz w:val="22"/>
          <w:szCs w:val="22"/>
        </w:rPr>
        <w:t>545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;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עניין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נפאע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שלעיל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בפס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cs="Guttman Keren" w:ascii="Calibri" w:hAnsi="Calibri"/>
          <w:b/>
          <w:bCs/>
          <w:sz w:val="22"/>
          <w:szCs w:val="22"/>
        </w:rPr>
        <w:t>5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cs="Guttman Keren" w:ascii="Calibri" w:hAnsi="Calibri"/>
          <w:b/>
          <w:bCs/>
          <w:sz w:val="22"/>
          <w:szCs w:val="22"/>
        </w:rPr>
        <w:t>7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).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הסוחר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מונע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בדרך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כלל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משיקולי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רווח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שיקולי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אידיאולוגיה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בשני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המצבים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צו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השעה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הוא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להרתיע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בצורה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פרטנית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וכללית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כמובן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שהדברים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נכונים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ביתר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כאשר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מדובר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רבות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וחוזרות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Guttman Keren"/>
          <w:b/>
          <w:b/>
          <w:bCs/>
          <w:sz w:val="22"/>
          <w:sz w:val="22"/>
          <w:szCs w:val="22"/>
          <w:rtl w:val="true"/>
        </w:rPr>
        <w:t>נאשם</w:t>
      </w:r>
      <w:r>
        <w:rPr>
          <w:rFonts w:cs="Guttman Keren" w:ascii="Calibri" w:hAnsi="Calibri"/>
          <w:b/>
          <w:bCs/>
          <w:sz w:val="22"/>
          <w:szCs w:val="22"/>
          <w:rtl w:val="true"/>
        </w:rPr>
        <w:t>".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מהמובאות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המסוכנות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המוצאים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ובקביעות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להרתיע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הרתעת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הרתעת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במרבית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שהוצגה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פחותות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בחומרתן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שהמסוכנות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הגלומה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בהכרעת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רימוני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רסס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מטאדור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המסוכנות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מהבחינה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הביטחונית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בהכרעת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קביעת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המסויימות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ועונשה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תוצאותיה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היבט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אינדיבידואלי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hyperlink r:id="rId50">
        <w:r>
          <w:rPr>
            <w:rStyle w:val="Hyperlink"/>
            <w:rFonts w:ascii="Calibri" w:hAnsi="Calibri"/>
            <w:rtl w:val="true"/>
          </w:rPr>
          <w:t>ע</w:t>
        </w:r>
        <w:r>
          <w:rPr>
            <w:rStyle w:val="Hyperlink"/>
            <w:rFonts w:cs="David" w:ascii="Calibri" w:hAnsi="Calibri"/>
            <w:rtl w:val="true"/>
          </w:rPr>
          <w:t>"</w:t>
        </w:r>
        <w:r>
          <w:rPr>
            <w:rStyle w:val="Hyperlink"/>
            <w:rFonts w:ascii="Calibri" w:hAnsi="Calibri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5.6.2013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המתייחס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האינדיבידואלי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עיצוב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שנגנב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ולצידם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הגמול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והמניעה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מבצען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מכל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ופסילה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הנאשם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1969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רכישת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ויצור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יבוא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2001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2004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2005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2008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איומים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2005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2003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העלבת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ציבור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2003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הפרת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2003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תגרה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ציבורי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1999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1999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פציעה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זדונית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1994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1994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הפרעה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ותקיפת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1990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פציעה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כשהעברין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מזויין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1989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בהרחבה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ומטיעוני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בהובלות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לחרוג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לאפשר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המכלול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ביטחונית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מהחמורים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יצויין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זועבי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בהתנהלותו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ובהפקרת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שנלכד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לצמצם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ויגרמו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מהעברת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ודאג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לאינטרסים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לצמצום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הגדולה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מקיומו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ומהסוג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מפעילותו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העבריינית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המסוכנת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ומותיר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ביטחונו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חשופים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האפשרית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ויעשו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לצמצום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לצמצם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בפעילותו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בשיקוליו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והותיר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התממשה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התפוצץ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בהכרעת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תחילתה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לצמצם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שיצרה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פעילותו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העבריינית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מכבי</w:t>
      </w:r>
      <w:r>
        <w:rPr>
          <w:rFonts w:ascii="David" w:hAnsi="David"/>
          <w:rtl w:val="true"/>
        </w:rPr>
        <w:t>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ורלוונטי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יוטלו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ופסילה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ההיבט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לפריסת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החמורות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      </w:t>
      </w:r>
      <w:r>
        <w:rPr>
          <w:rFonts w:ascii="David" w:hAnsi="David"/>
          <w:b/>
          <w:b/>
          <w:bCs/>
          <w:rtl w:val="true"/>
        </w:rPr>
        <w:t>לאור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גוזר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הבאים</w:t>
      </w:r>
      <w:r>
        <w:rPr>
          <w:rFonts w:cs="David" w:ascii="David" w:hAnsi="David"/>
          <w:b/>
          <w:bCs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02" w:end="0"/>
        <w:jc w:val="both"/>
        <w:rPr/>
      </w:pP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תחושב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18.7.2016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02" w:end="0"/>
        <w:jc w:val="both"/>
        <w:rPr/>
      </w:pP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02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100,000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בתוך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02" w:end="0"/>
        <w:jc w:val="both"/>
        <w:rPr/>
      </w:pPr>
      <w:r>
        <w:rPr>
          <w:rFonts w:ascii="David" w:hAnsi="David"/>
          <w:b/>
          <w:b/>
          <w:bCs/>
          <w:rtl w:val="true"/>
        </w:rPr>
        <w:t>פסילה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פוסל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בקשת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החילוט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עותרת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רישוי</w:t>
      </w:r>
      <w:r>
        <w:rPr>
          <w:rFonts w:ascii="David" w:hAnsi="David"/>
          <w:rtl w:val="true"/>
        </w:rPr>
        <w:t xml:space="preserve">                   </w:t>
      </w:r>
      <w:r>
        <w:rPr>
          <w:rFonts w:cs="David" w:ascii="David" w:hAnsi="David"/>
        </w:rPr>
        <w:t>57-081-73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פולקסווגן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טה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מחלוקת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במשרד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הרישוי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מחלוקת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קונסטיטובי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הקובע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הבעלות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העידו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מעדותן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הלוואה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לרכישת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שהוחלף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מהמסמכים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והעדויות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ורעייתו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בחקירתה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הנגדית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הטוענות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רעייתו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מסמכים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למימון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תדפיסי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הלוואה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ההלוואה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יפ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לחילוט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המסמכים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אינדיקציה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מהעדויות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יפ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הקודם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והרכב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כתחליף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טסטים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מכל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ומהרישום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הבקשה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מכוח</w:t>
      </w:r>
      <w:r>
        <w:rPr>
          <w:rFonts w:ascii="David" w:hAnsi="David"/>
          <w:rtl w:val="true"/>
        </w:rPr>
        <w:t xml:space="preserve"> 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2">
        <w:r>
          <w:rPr>
            <w:rStyle w:val="Hyperlink"/>
            <w:rFonts w:ascii="David" w:hAnsi="David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מעצר וחיפוש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נוסח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</w:t>
      </w:r>
      <w:r>
        <w:rPr>
          <w:rFonts w:ascii="David" w:hAnsi="David"/>
          <w:rtl w:val="true"/>
        </w:rPr>
        <w:t xml:space="preserve"> – </w:t>
      </w:r>
      <w:r>
        <w:rPr>
          <w:rFonts w:cs="David" w:ascii="David" w:hAnsi="David"/>
        </w:rPr>
        <w:t>1969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המצטברים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חפץ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בחפץ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hyperlink r:id="rId53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623/78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סורני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25.6.1979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קיימים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חפץ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u w:val="single"/>
          </w:rPr>
          <w:t>32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hyperlink r:id="rId55">
        <w:r>
          <w:rPr>
            <w:rStyle w:val="Hyperlink"/>
            <w:rFonts w:cs="David" w:ascii="David" w:hAnsi="David"/>
            <w:color w:val="0000FF"/>
            <w:u w:val="single"/>
          </w:rPr>
          <w:t>33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לפקודה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מתייחסת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בחפץ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מתקיימים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מתייחסת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שבאמצעותו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בלעדי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שיבוצע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משוויו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חלוקת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ששקלתי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ממומשת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המוטלת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יבוצע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החילוט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היבט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בהחלטה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המוטלת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בהחלטה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החילוט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היבט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56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1982/93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לאומי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ורוני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ליבוביץ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19.5.1994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שמתקיימים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המשמעות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לבעלים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רישוי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57-081-73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פולקסווגן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המוחזק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זועבי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xxxxxxxxxx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רנד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זועבי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xxxxxxxxx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חשוון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אוקטובר </w:t>
      </w:r>
      <w:r>
        <w:rPr>
          <w:rFonts w:cs="Arial" w:ascii="Arial" w:hAnsi="Arial"/>
          <w:b/>
          <w:bCs/>
        </w:rPr>
        <w:t>2017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7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Fonts w:cs="David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8"/>
      <w:footerReference w:type="default" r:id="rId5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Times New (W1)">
    <w:altName w:val="Times New Roman"/>
    <w:charset w:val="00" w:characterSet="windows-1252"/>
    <w:family w:val="roman"/>
    <w:pitch w:val="default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29984-08-16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זועבי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David" w:hAnsi="David" w:cs="David"/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David" w:hAnsi="David" w:cs="David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Roman" w:hAnsi="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8"/>
      <w:sz w:val="28"/>
      <w:szCs w:val="28"/>
      <w:u w:val="none" w:color="000000"/>
      <w:vertAlign w:val="baseline"/>
    </w:rPr>
  </w:style>
  <w:style w:type="character" w:styleId="WW8Num1z1">
    <w:name w:val="WW8Num1z1"/>
    <w:qFormat/>
    <w:rPr>
      <w:rFonts w:cs="Times New Roman"/>
    </w:rPr>
  </w:style>
  <w:style w:type="character" w:styleId="WW8Num1z6">
    <w:name w:val="WW8Num1z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8"/>
      <w:sz w:val="28"/>
      <w:szCs w:val="28"/>
      <w:u w:val="none" w:color="000000"/>
      <w:vertAlign w:val="baseline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Calibri" w:hAnsi="Calibri" w:eastAsia="Times New Roman" w:cs="Calibri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ascii="Symbol" w:hAnsi="Symbol" w:eastAsia="Times New Roman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6z1">
    <w:name w:val="WW8Num16z1"/>
    <w:qFormat/>
    <w:rPr>
      <w:rFonts w:cs="Times New Roman"/>
    </w:rPr>
  </w:style>
  <w:style w:type="character" w:styleId="WW8Num17z0">
    <w:name w:val="WW8Num17z0"/>
    <w:qFormat/>
    <w:rPr/>
  </w:style>
  <w:style w:type="character" w:styleId="WW8Num18z0">
    <w:name w:val="WW8Num18z0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WW8Num20z0">
    <w:name w:val="WW8Num20z0"/>
    <w:qFormat/>
    <w:rPr>
      <w:rFonts w:cs="Times New Roman"/>
    </w:rPr>
  </w:style>
  <w:style w:type="character" w:styleId="WW8Num21z0">
    <w:name w:val="WW8Num21z0"/>
    <w:qFormat/>
    <w:rPr>
      <w:rFonts w:cs="Times New Roman"/>
    </w:rPr>
  </w:style>
  <w:style w:type="character" w:styleId="WW8Num21z1">
    <w:name w:val="WW8Num21z1"/>
    <w:qFormat/>
    <w:rPr>
      <w:rFonts w:cs="Times New Roman"/>
    </w:rPr>
  </w:style>
  <w:style w:type="character" w:styleId="WW8Num22z0">
    <w:name w:val="WW8Num22z0"/>
    <w:qFormat/>
    <w:rPr>
      <w:rFonts w:cs="Times New Roman"/>
    </w:rPr>
  </w:style>
  <w:style w:type="character" w:styleId="WW8Num22z1">
    <w:name w:val="WW8Num22z1"/>
    <w:qFormat/>
    <w:rPr>
      <w:rFonts w:cs="Times New Roman"/>
    </w:rPr>
  </w:style>
  <w:style w:type="character" w:styleId="WW8Num23z0">
    <w:name w:val="WW8Num23z0"/>
    <w:qFormat/>
    <w:rPr>
      <w:rFonts w:cs="Times New Roman"/>
    </w:rPr>
  </w:style>
  <w:style w:type="character" w:styleId="WW8Num23z1">
    <w:name w:val="WW8Num23z1"/>
    <w:qFormat/>
    <w:rPr>
      <w:rFonts w:cs="Times New Roman"/>
    </w:rPr>
  </w:style>
  <w:style w:type="character" w:styleId="WW8Num24z0">
    <w:name w:val="WW8Num24z0"/>
    <w:qFormat/>
    <w:rPr>
      <w:rFonts w:cs="Times New Roman"/>
    </w:rPr>
  </w:style>
  <w:style w:type="character" w:styleId="WW8Num25z0">
    <w:name w:val="WW8Num25z0"/>
    <w:qFormat/>
    <w:rPr>
      <w:rFonts w:cs="Times New Roman"/>
    </w:rPr>
  </w:style>
  <w:style w:type="character" w:styleId="WW8Num26z0">
    <w:name w:val="WW8Num26z0"/>
    <w:qFormat/>
    <w:rPr>
      <w:rFonts w:cs="Times New Roman"/>
    </w:rPr>
  </w:style>
  <w:style w:type="character" w:styleId="WW8Num27z0">
    <w:name w:val="WW8Num27z0"/>
    <w:qFormat/>
    <w:rPr>
      <w:rFonts w:cs="Times New Roman"/>
    </w:rPr>
  </w:style>
  <w:style w:type="character" w:styleId="WW8Num28z0">
    <w:name w:val="WW8Num28z0"/>
    <w:qFormat/>
    <w:rPr>
      <w:rFonts w:cs="Times New Roman"/>
      <w:b/>
      <w:bCs w:val="false"/>
    </w:rPr>
  </w:style>
  <w:style w:type="character" w:styleId="WW8Num28z1">
    <w:name w:val="WW8Num28z1"/>
    <w:qFormat/>
    <w:rPr>
      <w:rFonts w:cs="Times New Roman"/>
    </w:rPr>
  </w:style>
  <w:style w:type="character" w:styleId="WW8Num29z0">
    <w:name w:val="WW8Num29z0"/>
    <w:qFormat/>
    <w:rPr>
      <w:rFonts w:cs="Times New Roman"/>
    </w:rPr>
  </w:style>
  <w:style w:type="character" w:styleId="WW8Num30z0">
    <w:name w:val="WW8Num30z0"/>
    <w:qFormat/>
    <w:rPr>
      <w:rFonts w:cs="Times New Roman"/>
    </w:rPr>
  </w:style>
  <w:style w:type="character" w:styleId="WW8Num31z0">
    <w:name w:val="WW8Num31z0"/>
    <w:qFormat/>
    <w:rPr>
      <w:rFonts w:cs="Times New Roman"/>
    </w:rPr>
  </w:style>
  <w:style w:type="character" w:styleId="WW8Num32z0">
    <w:name w:val="WW8Num32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7">
    <w:name w:val=" Char Char7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6">
    <w:name w:val=" Char Char6"/>
    <w:qFormat/>
    <w:rPr>
      <w:rFonts w:ascii="David" w:hAnsi="David" w:eastAsia="Times New Roman" w:cs="David"/>
      <w:b/>
      <w:bCs/>
      <w:i/>
      <w:iCs/>
      <w:sz w:val="24"/>
      <w:szCs w:val="24"/>
    </w:rPr>
  </w:style>
  <w:style w:type="character" w:styleId="CharChar5">
    <w:name w:val=" Char Char5"/>
    <w:qFormat/>
    <w:rPr>
      <w:rFonts w:ascii="David" w:hAnsi="David" w:eastAsia="Times New Roman" w:cs="David"/>
      <w:b/>
      <w:bCs/>
      <w:sz w:val="26"/>
      <w:szCs w:val="26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PlaceholderText">
    <w:name w:val="Placeholder Text"/>
    <w:qFormat/>
    <w:rPr>
      <w:rFonts w:cs="Times New Roman"/>
      <w:color w:val="808080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</w:rPr>
  </w:style>
  <w:style w:type="character" w:styleId="Ruller5">
    <w:name w:val="Ruller5 תו"/>
    <w:qFormat/>
    <w:rPr>
      <w:rFonts w:ascii="Arial TUR;Arial" w:hAnsi="Arial TUR;Arial" w:cs="Arial TUR;Arial"/>
      <w:spacing w:val="10"/>
      <w:sz w:val="28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P00">
    <w:name w:val="P00 תו"/>
    <w:qFormat/>
    <w:rPr>
      <w:rFonts w:ascii="Times New Roman" w:hAnsi="Times New Roman" w:eastAsia="Times New Roman" w:cs="FrankRuehl"/>
      <w:sz w:val="20"/>
      <w:szCs w:val="26"/>
      <w:lang w:val="en-IL" w:eastAsia="en-IL"/>
    </w:rPr>
  </w:style>
  <w:style w:type="character" w:styleId="Ruller41">
    <w:name w:val="Ruller4 תו1"/>
    <w:qFormat/>
    <w:rPr>
      <w:rFonts w:ascii="Arial TUR;Arial" w:hAnsi="Arial TUR;Arial" w:cs="Arial TUR;Arial"/>
      <w:spacing w:val="10"/>
      <w:sz w:val="28"/>
      <w:lang w:val="en-US"/>
    </w:rPr>
  </w:style>
  <w:style w:type="character" w:styleId="LineNumber">
    <w:name w:val="line number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Style10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uller42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Arial"/>
      <w:spacing w:val="10"/>
      <w:sz w:val="28"/>
      <w:szCs w:val="22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eastAsia="Calibri" w:cs="Arial"/>
      <w:spacing w:val="10"/>
      <w:sz w:val="28"/>
      <w:szCs w:val="22"/>
    </w:rPr>
  </w:style>
  <w:style w:type="paragraph" w:styleId="Style11">
    <w:name w:val="כללי"/>
    <w:basedOn w:val="Normal"/>
    <w:qFormat/>
    <w:pPr>
      <w:overflowPunct w:val="false"/>
      <w:autoSpaceDE w:val="false"/>
      <w:spacing w:lineRule="exact" w:line="280" w:before="0" w:after="240"/>
      <w:ind w:firstLine="284" w:start="0" w:end="0"/>
      <w:jc w:val="both"/>
      <w:textAlignment w:val="baseline"/>
    </w:pPr>
    <w:rPr>
      <w:rFonts w:cs="FrankRuehl"/>
      <w:sz w:val="20"/>
    </w:rPr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FrankRuehl"/>
      <w:color w:val="auto"/>
      <w:sz w:val="20"/>
      <w:szCs w:val="26"/>
      <w:lang w:val="en-US" w:eastAsia="en-IL" w:bidi="he-IL"/>
    </w:rPr>
  </w:style>
  <w:style w:type="paragraph" w:styleId="ruller411">
    <w:name w:val="ruller41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43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113" TargetMode="External"/><Relationship Id="rId12" Type="http://schemas.openxmlformats.org/officeDocument/2006/relationships/hyperlink" Target="http://www.nevo.co.il/law/74903/186" TargetMode="External"/><Relationship Id="rId13" Type="http://schemas.openxmlformats.org/officeDocument/2006/relationships/hyperlink" Target="http://www.nevo.co.il/law/74918" TargetMode="External"/><Relationship Id="rId14" Type="http://schemas.openxmlformats.org/officeDocument/2006/relationships/hyperlink" Target="http://www.nevo.co.il/law/74918/32" TargetMode="External"/><Relationship Id="rId15" Type="http://schemas.openxmlformats.org/officeDocument/2006/relationships/hyperlink" Target="http://www.nevo.co.il/law/74918/33" TargetMode="External"/><Relationship Id="rId16" Type="http://schemas.openxmlformats.org/officeDocument/2006/relationships/hyperlink" Target="http://www.nevo.co.il/law/74918/39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5227/43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case/6034921" TargetMode="External"/><Relationship Id="rId25" Type="http://schemas.openxmlformats.org/officeDocument/2006/relationships/hyperlink" Target="http://www.nevo.co.il/law/74903/113" TargetMode="External"/><Relationship Id="rId26" Type="http://schemas.openxmlformats.org/officeDocument/2006/relationships/hyperlink" Target="http://www.nevo.co.il/law/74903/186" TargetMode="External"/><Relationship Id="rId27" Type="http://schemas.openxmlformats.org/officeDocument/2006/relationships/hyperlink" Target="http://www.nevo.co.il/law/74903" TargetMode="External"/><Relationship Id="rId28" Type="http://schemas.openxmlformats.org/officeDocument/2006/relationships/hyperlink" Target="http://www.nevo.co.il/case/5762686" TargetMode="External"/><Relationship Id="rId29" Type="http://schemas.openxmlformats.org/officeDocument/2006/relationships/hyperlink" Target="http://www.nevo.co.il/case/6248918" TargetMode="External"/><Relationship Id="rId30" Type="http://schemas.openxmlformats.org/officeDocument/2006/relationships/hyperlink" Target="http://www.nevo.co.il/case/5748124" TargetMode="External"/><Relationship Id="rId31" Type="http://schemas.openxmlformats.org/officeDocument/2006/relationships/hyperlink" Target="http://www.nevo.co.il/case/5748124" TargetMode="External"/><Relationship Id="rId32" Type="http://schemas.openxmlformats.org/officeDocument/2006/relationships/hyperlink" Target="http://www.nevo.co.il/case/6034921" TargetMode="External"/><Relationship Id="rId33" Type="http://schemas.openxmlformats.org/officeDocument/2006/relationships/hyperlink" Target="http://www.nevo.co.il/law/70301/186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5594979" TargetMode="External"/><Relationship Id="rId36" Type="http://schemas.openxmlformats.org/officeDocument/2006/relationships/hyperlink" Target="http://www.nevo.co.il/case/5598421" TargetMode="External"/><Relationship Id="rId37" Type="http://schemas.openxmlformats.org/officeDocument/2006/relationships/hyperlink" Target="http://www.nevo.co.il/case/17928656" TargetMode="External"/><Relationship Id="rId38" Type="http://schemas.openxmlformats.org/officeDocument/2006/relationships/hyperlink" Target="http://www.nevo.co.il/case/6882160" TargetMode="External"/><Relationship Id="rId39" Type="http://schemas.openxmlformats.org/officeDocument/2006/relationships/hyperlink" Target="http://www.nevo.co.il/case/6473037" TargetMode="External"/><Relationship Id="rId40" Type="http://schemas.openxmlformats.org/officeDocument/2006/relationships/hyperlink" Target="http://www.nevo.co.il/case/5598555" TargetMode="External"/><Relationship Id="rId41" Type="http://schemas.openxmlformats.org/officeDocument/2006/relationships/hyperlink" Target="http://www.nevo.co.il/case/5821327" TargetMode="External"/><Relationship Id="rId42" Type="http://schemas.openxmlformats.org/officeDocument/2006/relationships/hyperlink" Target="http://www.nevo.co.il/case/6180844" TargetMode="External"/><Relationship Id="rId43" Type="http://schemas.openxmlformats.org/officeDocument/2006/relationships/hyperlink" Target="http://www.nevo.co.il/case/5697078" TargetMode="External"/><Relationship Id="rId44" Type="http://schemas.openxmlformats.org/officeDocument/2006/relationships/hyperlink" Target="http://www.nevo.co.il/case/5707014" TargetMode="External"/><Relationship Id="rId45" Type="http://schemas.openxmlformats.org/officeDocument/2006/relationships/hyperlink" Target="http://www.nevo.co.il/case/2237501" TargetMode="External"/><Relationship Id="rId46" Type="http://schemas.openxmlformats.org/officeDocument/2006/relationships/hyperlink" Target="http://www.nevo.co.il/case/380100" TargetMode="External"/><Relationship Id="rId47" Type="http://schemas.openxmlformats.org/officeDocument/2006/relationships/hyperlink" Target="http://www.nevo.co.il/case/5831001" TargetMode="External"/><Relationship Id="rId48" Type="http://schemas.openxmlformats.org/officeDocument/2006/relationships/hyperlink" Target="http://www.nevo.co.il/case/6034921" TargetMode="External"/><Relationship Id="rId49" Type="http://schemas.openxmlformats.org/officeDocument/2006/relationships/hyperlink" Target="http://www.nevo.co.il/case/5821327" TargetMode="External"/><Relationship Id="rId50" Type="http://schemas.openxmlformats.org/officeDocument/2006/relationships/hyperlink" Target="http://www.nevo.co.il/case/6473037" TargetMode="External"/><Relationship Id="rId51" Type="http://schemas.openxmlformats.org/officeDocument/2006/relationships/hyperlink" Target="http://www.nevo.co.il/law/74918/39" TargetMode="External"/><Relationship Id="rId52" Type="http://schemas.openxmlformats.org/officeDocument/2006/relationships/hyperlink" Target="http://www.nevo.co.il/law/74918" TargetMode="External"/><Relationship Id="rId53" Type="http://schemas.openxmlformats.org/officeDocument/2006/relationships/hyperlink" Target="http://www.nevo.co.il/case/17929014" TargetMode="External"/><Relationship Id="rId54" Type="http://schemas.openxmlformats.org/officeDocument/2006/relationships/hyperlink" Target="http://www.nevo.co.il/law/74918/32" TargetMode="External"/><Relationship Id="rId55" Type="http://schemas.openxmlformats.org/officeDocument/2006/relationships/hyperlink" Target="http://www.nevo.co.il/law/74918/33" TargetMode="External"/><Relationship Id="rId56" Type="http://schemas.openxmlformats.org/officeDocument/2006/relationships/hyperlink" Target="http://www.nevo.co.il/case/17914099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2018-05-08T12:56:00Z</dcterms:created>
  <dc:creator> </dc:creator>
  <dc:description/>
  <cp:keywords/>
  <dc:language>en-IL</dc:language>
  <cp:lastModifiedBy>run</cp:lastModifiedBy>
  <dcterms:modified xsi:type="dcterms:W3CDTF">2018-05-08T12:56:00Z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זועבי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6034921:3;5762686;6248918;5748124:2;5594979;5598421;17928656;6882160;6473037:2;5598555;5821327:2;6180844;5697078;5707014;2237501;380100;5831001;17929014;17914099</vt:lpwstr>
  </property>
  <property fmtid="{D5CDD505-2E9C-101B-9397-08002B2CF9AE}" pid="9" name="CITY">
    <vt:lpwstr>ב"ש</vt:lpwstr>
  </property>
  <property fmtid="{D5CDD505-2E9C-101B-9397-08002B2CF9AE}" pid="10" name="DATE">
    <vt:lpwstr>20171023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יואל עדן</vt:lpwstr>
  </property>
  <property fmtid="{D5CDD505-2E9C-101B-9397-08002B2CF9AE}" pid="14" name="LAWLISTTMP1">
    <vt:lpwstr>70301/499.a.1;144.a;144.b;144.b2;186</vt:lpwstr>
  </property>
  <property fmtid="{D5CDD505-2E9C-101B-9397-08002B2CF9AE}" pid="15" name="LAWLISTTMP2">
    <vt:lpwstr>5227/043</vt:lpwstr>
  </property>
  <property fmtid="{D5CDD505-2E9C-101B-9397-08002B2CF9AE}" pid="16" name="LAWLISTTMP3">
    <vt:lpwstr>74903/113;186</vt:lpwstr>
  </property>
  <property fmtid="{D5CDD505-2E9C-101B-9397-08002B2CF9AE}" pid="17" name="LAWLISTTMP4">
    <vt:lpwstr>74918/039;032;033</vt:lpwstr>
  </property>
  <property fmtid="{D5CDD505-2E9C-101B-9397-08002B2CF9AE}" pid="18" name="LAWYER">
    <vt:lpwstr>אדווה ויצגן ;ראפי מסלחה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29984</vt:lpwstr>
  </property>
  <property fmtid="{D5CDD505-2E9C-101B-9397-08002B2CF9AE}" pid="25" name="NEWPARTB">
    <vt:lpwstr>08</vt:lpwstr>
  </property>
  <property fmtid="{D5CDD505-2E9C-101B-9397-08002B2CF9AE}" pid="26" name="NEWPARTC">
    <vt:lpwstr>16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390020171023</vt:lpwstr>
  </property>
  <property fmtid="{D5CDD505-2E9C-101B-9397-08002B2CF9AE}" pid="37" name="TYPE_N_DATE">
    <vt:lpwstr>39020171023</vt:lpwstr>
  </property>
  <property fmtid="{D5CDD505-2E9C-101B-9397-08002B2CF9AE}" pid="38" name="VOLUME">
    <vt:lpwstr/>
  </property>
  <property fmtid="{D5CDD505-2E9C-101B-9397-08002B2CF9AE}" pid="39" name="WORDNUMPAGES">
    <vt:lpwstr>14</vt:lpwstr>
  </property>
</Properties>
</file>