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3757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763"/>
        <w:gridCol w:w="405"/>
        <w:gridCol w:w="1589"/>
      </w:tblGrid>
      <w:tr>
        <w:trPr>
          <w:trHeight w:val="418" w:hRule="exact"/>
        </w:trPr>
        <w:tc>
          <w:tcPr>
            <w:tcW w:w="3757" w:type="dxa"/>
            <w:gridSpan w:val="3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בית משפט השלום בנצרת</w:t>
            </w:r>
          </w:p>
        </w:tc>
      </w:tr>
      <w:tr>
        <w:trPr>
          <w:trHeight w:val="337" w:hRule="atLeast"/>
        </w:trPr>
        <w:tc>
          <w:tcPr>
            <w:tcW w:w="1763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2999-07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</w:t>
            </w:r>
            <w:r>
              <w:rPr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פרקליטות מחוז הצפון</w:t>
            </w:r>
            <w:r>
              <w:rPr>
                <w:b/>
                <w:bCs/>
                <w:sz w:val="26"/>
                <w:szCs w:val="26"/>
                <w:rtl w:val="true"/>
              </w:rPr>
              <w:t>-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פלילי 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גרנין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405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1589" w:type="dxa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18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ספטמבר </w:t>
            </w:r>
            <w:r>
              <w:rPr>
                <w:b/>
                <w:bCs/>
                <w:sz w:val="26"/>
                <w:szCs w:val="26"/>
              </w:rPr>
              <w:t>2008</w:t>
            </w:r>
          </w:p>
        </w:tc>
      </w:tr>
    </w:tbl>
    <w:p>
      <w:pPr>
        <w:pStyle w:val="Normal"/>
        <w:ind w:end="0"/>
        <w:jc w:val="start"/>
        <w:rPr>
          <w:rFonts w:ascii="Times New Roman" w:hAnsi="Times New Roman" w:eastAsia="Times New Roman" w:cs="Times New Roman"/>
          <w:b/>
          <w:bCs/>
          <w:vanish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bCs/>
          <w:vanish/>
          <w:sz w:val="24"/>
          <w:szCs w:val="24"/>
          <w:u w:val="single"/>
          <w:rtl w:val="true"/>
        </w:rPr>
      </w:r>
      <w:bookmarkStart w:id="0" w:name="FirstAppellant"/>
      <w:bookmarkStart w:id="1" w:name="FirstAppellant"/>
      <w:bookmarkEnd w:id="1"/>
    </w:p>
    <w:tbl>
      <w:tblPr>
        <w:bidiVisual w:val="true"/>
        <w:tblW w:w="8802" w:type="dxa"/>
        <w:jc w:val="start"/>
        <w:tblInd w:w="-5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40"/>
        <w:gridCol w:w="5562"/>
      </w:tblGrid>
      <w:tr>
        <w:trPr/>
        <w:tc>
          <w:tcPr>
            <w:tcW w:w="3240" w:type="dxa"/>
            <w:tcBorders/>
          </w:tcPr>
          <w:p>
            <w:pPr>
              <w:pStyle w:val="Normal"/>
              <w:snapToGrid w:val="false"/>
              <w:ind w:start="26" w:end="0"/>
              <w:jc w:val="end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start="26" w:end="0"/>
              <w:jc w:val="end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start="26"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</w:tc>
        <w:tc>
          <w:tcPr>
            <w:tcW w:w="5562" w:type="dxa"/>
            <w:tcBorders/>
          </w:tcPr>
          <w:p>
            <w:pPr>
              <w:pStyle w:val="Normal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 xml:space="preserve">                     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מ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י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פרקליטות מחוז הצפון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>-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פלילי</w:t>
            </w:r>
          </w:p>
        </w:tc>
      </w:tr>
      <w:tr>
        <w:trPr/>
        <w:tc>
          <w:tcPr>
            <w:tcW w:w="8802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eastAsia="Times New Roman" w:cs="Arial"/>
                <w:b/>
                <w:bCs/>
                <w:sz w:val="26"/>
                <w:szCs w:val="26"/>
              </w:rPr>
            </w:pPr>
            <w:r>
              <w:rPr>
                <w:rFonts w:eastAsia="Times New Roman"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eastAsia="Times New Roman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eastAsia="Times New Roman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eastAsia="Times New Roman" w:cs="Arial"/>
                <w:b/>
                <w:bCs/>
                <w:sz w:val="26"/>
                <w:szCs w:val="26"/>
              </w:rPr>
            </w:pPr>
            <w:r>
              <w:rPr>
                <w:rFonts w:eastAsia="Times New Roman"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3240" w:type="dxa"/>
            <w:tcBorders/>
          </w:tcPr>
          <w:p>
            <w:pPr>
              <w:pStyle w:val="Normal"/>
              <w:ind w:start="26"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נאשמים</w:t>
            </w:r>
          </w:p>
        </w:tc>
        <w:tc>
          <w:tcPr>
            <w:tcW w:w="5562" w:type="dxa"/>
            <w:tcBorders/>
          </w:tcPr>
          <w:p>
            <w:pPr>
              <w:pStyle w:val="Normal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 xml:space="preserve">                     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סטניסלב גרנין 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>)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rtl w:val="true"/>
        </w:rPr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u w:val="none"/>
          <w:rtl w:val="true"/>
        </w:rPr>
        <w:t>נוכחים</w:t>
      </w:r>
      <w:r>
        <w:rPr>
          <w:u w:val="none"/>
          <w:rtl w:val="true"/>
        </w:rPr>
        <w:t>:</w:t>
      </w:r>
      <w:r>
        <w:rPr>
          <w:b w:val="false"/>
          <w:bCs w:val="false"/>
          <w:u w:val="none"/>
          <w:rtl w:val="true"/>
        </w:rPr>
        <w:t xml:space="preserve">  </w:t>
      </w:r>
      <w:bookmarkStart w:id="2" w:name="FirstLawyer"/>
      <w:r>
        <w:rPr>
          <w:b w:val="false"/>
          <w:b w:val="false"/>
          <w:bCs w:val="false"/>
          <w:u w:val="none"/>
          <w:rtl w:val="true"/>
        </w:rPr>
        <w:t>מטעם</w:t>
      </w:r>
      <w:bookmarkEnd w:id="2"/>
      <w:r>
        <w:rPr>
          <w:b w:val="false"/>
          <w:b w:val="false"/>
          <w:bCs w:val="false"/>
          <w:u w:val="none"/>
          <w:rtl w:val="true"/>
        </w:rPr>
        <w:t xml:space="preserve"> המאשימה</w:t>
      </w:r>
      <w:r>
        <w:rPr>
          <w:b w:val="false"/>
          <w:bCs w:val="false"/>
          <w:u w:val="none"/>
          <w:rtl w:val="true"/>
        </w:rPr>
        <w:t xml:space="preserve">: </w:t>
      </w:r>
      <w:r>
        <w:rPr>
          <w:b w:val="false"/>
          <w:b w:val="false"/>
          <w:bCs w:val="false"/>
          <w:u w:val="none"/>
          <w:rtl w:val="true"/>
        </w:rPr>
        <w:t>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ד עידית רייכרט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  <w:t xml:space="preserve">                </w:t>
      </w:r>
      <w:r>
        <w:rPr>
          <w:b w:val="false"/>
          <w:b w:val="false"/>
          <w:bCs w:val="false"/>
          <w:u w:val="none"/>
          <w:rtl w:val="true"/>
        </w:rPr>
        <w:t>מטעם הנאשם</w:t>
      </w:r>
      <w:r>
        <w:rPr>
          <w:b w:val="false"/>
          <w:bCs w:val="false"/>
          <w:u w:val="none"/>
          <w:rtl w:val="true"/>
        </w:rPr>
        <w:t xml:space="preserve">: </w:t>
      </w:r>
      <w:r>
        <w:rPr>
          <w:b w:val="false"/>
          <w:b w:val="false"/>
          <w:bCs w:val="false"/>
          <w:u w:val="none"/>
          <w:rtl w:val="true"/>
        </w:rPr>
        <w:t>בעצמו ועל ידי 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ד דוד קליינמן מהסניגוריה הציבורית</w:t>
      </w:r>
    </w:p>
    <w:p>
      <w:pPr>
        <w:pStyle w:val="12"/>
        <w:ind w:end="0"/>
        <w:jc w:val="start"/>
        <w:rPr>
          <w:sz w:val="6"/>
          <w:szCs w:val="6"/>
          <w:u w:val="none"/>
        </w:rPr>
      </w:pPr>
      <w:r>
        <w:rPr>
          <w:b w:val="false"/>
          <w:bCs w:val="false"/>
          <w:u w:val="none"/>
          <w:rtl w:val="true"/>
        </w:rPr>
        <w:t xml:space="preserve">   </w:t>
      </w:r>
      <w:r>
        <w:rPr>
          <w:sz w:val="6"/>
          <w:szCs w:val="6"/>
          <w:u w:val="none"/>
          <w:rtl w:val="true"/>
        </w:rPr>
        <w:t>&lt;</w:t>
      </w:r>
      <w:r>
        <w:rPr>
          <w:sz w:val="6"/>
          <w:szCs w:val="6"/>
          <w:u w:val="none"/>
        </w:rPr>
        <w:t>#2#</w:t>
      </w:r>
      <w:r>
        <w:rPr>
          <w:sz w:val="6"/>
          <w:szCs w:val="6"/>
          <w:u w:val="none"/>
          <w:rtl w:val="true"/>
        </w:rPr>
        <w:t>&gt;</w:t>
      </w:r>
    </w:p>
    <w:p>
      <w:pPr>
        <w:pStyle w:val="12"/>
        <w:ind w:end="0"/>
        <w:jc w:val="start"/>
        <w:rPr>
          <w:sz w:val="6"/>
          <w:szCs w:val="6"/>
          <w:u w:val="none"/>
        </w:rPr>
      </w:pPr>
      <w:r>
        <w:rPr>
          <w:sz w:val="6"/>
          <w:szCs w:val="6"/>
          <w:u w:val="none"/>
          <w:rtl w:val="true"/>
        </w:rPr>
      </w:r>
    </w:p>
    <w:p>
      <w:pPr>
        <w:pStyle w:val="12"/>
        <w:ind w:end="0"/>
        <w:jc w:val="start"/>
        <w:rPr>
          <w:b w:val="false"/>
          <w:bCs w:val="false"/>
          <w:sz w:val="6"/>
          <w:szCs w:val="6"/>
          <w:u w:val="none"/>
        </w:rPr>
      </w:pPr>
      <w:r>
        <w:rPr>
          <w:b w:val="false"/>
          <w:bCs w:val="false"/>
          <w:sz w:val="6"/>
          <w:szCs w:val="6"/>
          <w:u w:val="none"/>
          <w:rtl w:val="true"/>
        </w:rPr>
      </w:r>
    </w:p>
    <w:p>
      <w:pPr>
        <w:pStyle w:val="12"/>
        <w:ind w:end="0"/>
        <w:jc w:val="center"/>
        <w:rPr>
          <w:sz w:val="32"/>
          <w:szCs w:val="32"/>
          <w:u w:val="none"/>
        </w:rPr>
      </w:pPr>
      <w:r>
        <w:rPr>
          <w:sz w:val="32"/>
          <w:szCs w:val="32"/>
          <w:u w:val="none"/>
          <w:rtl w:val="true"/>
        </w:rPr>
        <w:t xml:space="preserve"> </w:t>
      </w:r>
    </w:p>
    <w:p>
      <w:pPr>
        <w:pStyle w:val="12"/>
        <w:ind w:end="0"/>
        <w:jc w:val="center"/>
        <w:rPr>
          <w:b w:val="false"/>
          <w:bCs w:val="false"/>
          <w:sz w:val="6"/>
          <w:szCs w:val="6"/>
          <w:u w:val="none"/>
        </w:rPr>
      </w:pPr>
      <w:r>
        <w:rPr>
          <w:sz w:val="6"/>
          <w:szCs w:val="6"/>
          <w:u w:val="none"/>
          <w:rtl w:val="true"/>
        </w:rPr>
        <w:t>&lt;</w:t>
      </w:r>
      <w:r>
        <w:rPr>
          <w:sz w:val="6"/>
          <w:szCs w:val="6"/>
          <w:u w:val="none"/>
        </w:rPr>
        <w:t>#3#</w:t>
      </w:r>
      <w:bookmarkStart w:id="3" w:name="LawTable"/>
      <w:bookmarkEnd w:id="3"/>
    </w:p>
    <w:p>
      <w:pPr>
        <w:pStyle w:val="12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6"/>
          <w:szCs w:val="6"/>
          <w:u w:val="none"/>
        </w:rPr>
      </w:pPr>
      <w:r>
        <w:rPr>
          <w:rFonts w:cs="FrankRuehl" w:ascii="FrankRuehl" w:hAnsi="FrankRuehl"/>
          <w:b w:val="false"/>
          <w:bCs w:val="false"/>
          <w:sz w:val="6"/>
          <w:szCs w:val="6"/>
          <w:u w:val="none"/>
          <w:rtl w:val="true"/>
        </w:rPr>
      </w:r>
    </w:p>
    <w:p>
      <w:pPr>
        <w:pStyle w:val="12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u w:val="none"/>
        </w:rPr>
      </w:pPr>
      <w:r>
        <w:rPr>
          <w:rFonts w:ascii="FrankRuehl" w:hAnsi="FrankRuehl" w:cs="FrankRuehl"/>
          <w:b w:val="false"/>
          <w:b w:val="false"/>
          <w:bCs w:val="false"/>
          <w:u w:val="none"/>
          <w:rtl w:val="true"/>
        </w:rPr>
        <w:t>חקיקה שאוזכרה</w:t>
      </w:r>
      <w:r>
        <w:rPr>
          <w:rFonts w:cs="FrankRuehl" w:ascii="FrankRuehl" w:hAnsi="FrankRuehl"/>
          <w:b w:val="false"/>
          <w:bCs w:val="false"/>
          <w:u w:val="none"/>
          <w:rtl w:val="true"/>
        </w:rPr>
        <w:t xml:space="preserve">: </w:t>
      </w:r>
    </w:p>
    <w:p>
      <w:pPr>
        <w:pStyle w:val="12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u w:val="none"/>
        </w:rPr>
      </w:pPr>
      <w:hyperlink r:id="rId2"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</w:rPr>
          <w:t>1977</w:t>
        </w:r>
      </w:hyperlink>
      <w:r>
        <w:rPr>
          <w:rFonts w:cs="FrankRuehl" w:ascii="FrankRuehl" w:hAnsi="FrankRuehl"/>
          <w:b w:val="false"/>
          <w:bCs w:val="false"/>
          <w:u w:val="none"/>
          <w:rtl w:val="true"/>
        </w:rPr>
        <w:t xml:space="preserve">: </w:t>
      </w:r>
      <w:r>
        <w:rPr>
          <w:rFonts w:ascii="FrankRuehl" w:hAnsi="FrankRuehl" w:cs="FrankRuehl"/>
          <w:b w:val="false"/>
          <w:b w:val="false"/>
          <w:bCs w:val="false"/>
          <w:u w:val="none"/>
          <w:rtl w:val="true"/>
        </w:rPr>
        <w:t>סע</w:t>
      </w:r>
      <w:r>
        <w:rPr>
          <w:rFonts w:cs="FrankRuehl" w:ascii="FrankRuehl" w:hAnsi="FrankRuehl"/>
          <w:b w:val="false"/>
          <w:bCs w:val="false"/>
          <w:u w:val="none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b w:val="false"/>
            <w:bCs w:val="false"/>
            <w:color w:val="0000FF"/>
          </w:rPr>
          <w:t>144</w:t>
        </w:r>
      </w:hyperlink>
    </w:p>
    <w:p>
      <w:pPr>
        <w:pStyle w:val="12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u w:val="none"/>
        </w:rPr>
      </w:pPr>
      <w:r>
        <w:rPr>
          <w:rFonts w:cs="FrankRuehl" w:ascii="FrankRuehl" w:hAnsi="FrankRuehl"/>
          <w:b w:val="false"/>
          <w:bCs w:val="false"/>
          <w:u w:val="none"/>
          <w:rtl w:val="true"/>
        </w:rPr>
      </w:r>
    </w:p>
    <w:p>
      <w:pPr>
        <w:pStyle w:val="12"/>
        <w:ind w:end="0"/>
        <w:jc w:val="center"/>
        <w:rPr>
          <w:rFonts w:ascii="FrankRuehl" w:hAnsi="FrankRuehl" w:cs="FrankRuehl"/>
          <w:b w:val="false"/>
          <w:bCs w:val="false"/>
          <w:sz w:val="6"/>
          <w:szCs w:val="6"/>
          <w:u w:val="none"/>
        </w:rPr>
      </w:pPr>
      <w:r>
        <w:rPr>
          <w:rFonts w:cs="FrankRuehl" w:ascii="FrankRuehl" w:hAnsi="FrankRuehl"/>
          <w:b w:val="false"/>
          <w:bCs w:val="false"/>
          <w:sz w:val="6"/>
          <w:szCs w:val="6"/>
          <w:u w:val="none"/>
          <w:rtl w:val="true"/>
        </w:rPr>
      </w:r>
      <w:bookmarkStart w:id="4" w:name="LawTable_End"/>
      <w:bookmarkStart w:id="5" w:name="LawTable_End"/>
      <w:bookmarkEnd w:id="5"/>
    </w:p>
    <w:p>
      <w:pPr>
        <w:pStyle w:val="12"/>
        <w:ind w:end="0"/>
        <w:jc w:val="center"/>
        <w:rPr>
          <w:b w:val="false"/>
          <w:bCs w:val="false"/>
          <w:sz w:val="6"/>
          <w:szCs w:val="6"/>
          <w:u w:val="none"/>
        </w:rPr>
      </w:pPr>
      <w:r>
        <w:rPr>
          <w:b w:val="false"/>
          <w:bCs w:val="false"/>
          <w:sz w:val="6"/>
          <w:szCs w:val="6"/>
          <w:u w:val="none"/>
          <w:rtl w:val="true"/>
        </w:rPr>
      </w:r>
    </w:p>
    <w:p>
      <w:pPr>
        <w:pStyle w:val="12"/>
        <w:ind w:end="0"/>
        <w:jc w:val="center"/>
        <w:rPr>
          <w:rFonts w:ascii="FrankRuehl" w:hAnsi="FrankRuehl" w:cs="FrankRuehl"/>
          <w:b w:val="false"/>
          <w:bCs w:val="false"/>
          <w:u w:val="none"/>
        </w:rPr>
      </w:pPr>
      <w:r>
        <w:rPr>
          <w:sz w:val="6"/>
          <w:szCs w:val="6"/>
          <w:u w:val="none"/>
          <w:rtl w:val="true"/>
        </w:rPr>
        <w:t>&gt;</w:t>
      </w:r>
    </w:p>
    <w:p>
      <w:pPr>
        <w:pStyle w:val="12"/>
        <w:ind w:end="0"/>
        <w:jc w:val="center"/>
        <w:rPr>
          <w:rFonts w:ascii="FrankRuehl" w:hAnsi="FrankRuehl" w:cs="FrankRuehl"/>
          <w:b w:val="false"/>
          <w:bCs w:val="false"/>
          <w:sz w:val="6"/>
          <w:szCs w:val="6"/>
          <w:u w:val="none"/>
        </w:rPr>
      </w:pPr>
      <w:r>
        <w:rPr>
          <w:rFonts w:cs="FrankRuehl" w:ascii="FrankRuehl" w:hAnsi="FrankRuehl"/>
          <w:b w:val="false"/>
          <w:bCs w:val="false"/>
          <w:sz w:val="6"/>
          <w:szCs w:val="6"/>
          <w:u w:val="none"/>
          <w:rtl w:val="true"/>
        </w:rPr>
      </w:r>
    </w:p>
    <w:p>
      <w:pPr>
        <w:pStyle w:val="12"/>
        <w:ind w:end="0"/>
        <w:jc w:val="center"/>
        <w:rPr>
          <w:b w:val="false"/>
          <w:bCs w:val="false"/>
          <w:sz w:val="6"/>
          <w:szCs w:val="6"/>
          <w:u w:val="none"/>
        </w:rPr>
      </w:pPr>
      <w:r>
        <w:rPr>
          <w:b w:val="false"/>
          <w:bCs w:val="false"/>
          <w:sz w:val="6"/>
          <w:szCs w:val="6"/>
          <w:u w:val="none"/>
          <w:rtl w:val="true"/>
        </w:rPr>
      </w:r>
    </w:p>
    <w:p>
      <w:pPr>
        <w:pStyle w:val="12"/>
        <w:ind w:end="0"/>
        <w:jc w:val="center"/>
        <w:rPr>
          <w:sz w:val="6"/>
          <w:szCs w:val="6"/>
          <w:u w:val="none"/>
        </w:rPr>
      </w:pPr>
      <w:r>
        <w:rPr>
          <w:sz w:val="6"/>
          <w:szCs w:val="6"/>
          <w:u w:val="none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sz w:val="6"/>
          <w:szCs w:val="6"/>
          <w:u w:val="none"/>
        </w:rPr>
      </w:pPr>
      <w:r>
        <w:rPr>
          <w:rFonts w:cs="Arial" w:ascii="Arial" w:hAnsi="Arial"/>
          <w:sz w:val="6"/>
          <w:szCs w:val="6"/>
          <w:u w:val="none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12"/>
        <w:ind w:end="0"/>
        <w:jc w:val="center"/>
        <w:rPr>
          <w:rFonts w:ascii="Arial" w:hAnsi="Arial" w:eastAsia="David" w:cs="Arial"/>
          <w:sz w:val="28"/>
          <w:szCs w:val="28"/>
        </w:rPr>
      </w:pPr>
      <w:bookmarkStart w:id="6" w:name="PsakDin"/>
      <w:bookmarkEnd w:id="6"/>
      <w:r>
        <w:rPr>
          <w:rFonts w:ascii="Arial" w:hAnsi="Arial" w:eastAsia="David" w:cs="Arial"/>
          <w:sz w:val="28"/>
          <w:sz w:val="28"/>
          <w:szCs w:val="28"/>
          <w:rtl w:val="true"/>
        </w:rPr>
        <w:t>גזר דין</w:t>
      </w:r>
    </w:p>
    <w:p>
      <w:pPr>
        <w:pStyle w:val="12"/>
        <w:ind w:end="0"/>
        <w:jc w:val="center"/>
        <w:rPr>
          <w:rFonts w:ascii="Arial" w:hAnsi="Arial" w:eastAsia="David" w:cs="Arial"/>
          <w:sz w:val="6"/>
          <w:szCs w:val="6"/>
          <w:u w:val="none"/>
        </w:rPr>
      </w:pPr>
      <w:r>
        <w:rPr>
          <w:rFonts w:eastAsia="David" w:cs="Arial" w:ascii="Arial" w:hAnsi="Arial"/>
          <w:sz w:val="6"/>
          <w:szCs w:val="6"/>
          <w:u w:val="none"/>
          <w:rtl w:val="true"/>
        </w:rPr>
      </w:r>
      <w:bookmarkStart w:id="7" w:name="PsakDin"/>
      <w:bookmarkStart w:id="8" w:name="PsakDin"/>
      <w:bookmarkEnd w:id="8"/>
    </w:p>
    <w:p>
      <w:pPr>
        <w:pStyle w:val="Normal"/>
        <w:spacing w:lineRule="auto" w:line="360"/>
        <w:ind w:end="0"/>
        <w:jc w:val="both"/>
        <w:rPr>
          <w:sz w:val="24"/>
          <w:szCs w:val="24"/>
        </w:rPr>
      </w:pPr>
      <w:r>
        <w:rPr/>
        <w:t>1</w:t>
      </w:r>
      <w:r>
        <w:rPr>
          <w:rtl w:val="true"/>
        </w:rPr>
        <w:t>.</w:t>
        <w:tab/>
      </w:r>
      <w:bookmarkStart w:id="9" w:name="ABSTRACT_START"/>
      <w:bookmarkEnd w:id="9"/>
      <w:r>
        <w:rPr>
          <w:rtl w:val="true"/>
        </w:rPr>
        <w:t>הנאשם הורשע על פי הודאתו בביצוע עבירה של החזקת נשק שלא כדין</w:t>
      </w:r>
      <w:r>
        <w:rPr>
          <w:rtl w:val="true"/>
        </w:rPr>
        <w:t xml:space="preserve">. </w:t>
      </w:r>
      <w:r>
        <w:rPr>
          <w:rtl w:val="true"/>
        </w:rPr>
        <w:t xml:space="preserve">כך לאחר שהודה  כי בתאריך </w:t>
      </w:r>
      <w:r>
        <w:rPr/>
        <w:t>11.12.07</w:t>
      </w:r>
      <w:r>
        <w:rPr>
          <w:rtl w:val="true"/>
        </w:rPr>
        <w:t xml:space="preserve"> </w:t>
      </w:r>
      <w:r>
        <w:rPr>
          <w:rtl w:val="true"/>
        </w:rPr>
        <w:t>החזיק ברשותו רימון הלם</w:t>
      </w:r>
      <w:r>
        <w:rPr>
          <w:rtl w:val="true"/>
        </w:rPr>
        <w:t xml:space="preserve">, </w:t>
      </w:r>
      <w:r>
        <w:rPr>
          <w:rtl w:val="true"/>
        </w:rPr>
        <w:t>כדור גז למטול</w:t>
      </w:r>
      <w:r>
        <w:rPr>
          <w:rtl w:val="true"/>
        </w:rPr>
        <w:t xml:space="preserve">, </w:t>
      </w:r>
      <w:r>
        <w:rPr>
          <w:rtl w:val="true"/>
        </w:rPr>
        <w:t>מנגנון למוקש</w:t>
      </w:r>
      <w:r>
        <w:rPr>
          <w:rtl w:val="true"/>
        </w:rPr>
        <w:t xml:space="preserve">, </w:t>
      </w:r>
      <w:r>
        <w:rPr>
          <w:rtl w:val="true"/>
        </w:rPr>
        <w:t xml:space="preserve">כדור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, </w:t>
      </w:r>
      <w:r>
        <w:rPr/>
        <w:t>203</w:t>
      </w:r>
      <w:r>
        <w:rPr>
          <w:rtl w:val="true"/>
        </w:rPr>
        <w:t xml:space="preserve"> </w:t>
      </w:r>
      <w:r>
        <w:rPr>
          <w:rtl w:val="true"/>
        </w:rPr>
        <w:t xml:space="preserve">כדורי </w:t>
      </w:r>
      <w:r>
        <w:rPr/>
        <w:t>5.56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, </w:t>
      </w:r>
      <w:r>
        <w:rPr/>
        <w:t>42</w:t>
      </w:r>
      <w:r>
        <w:rPr>
          <w:rtl w:val="true"/>
        </w:rPr>
        <w:t xml:space="preserve"> </w:t>
      </w:r>
      <w:r>
        <w:rPr>
          <w:rtl w:val="true"/>
        </w:rPr>
        <w:t xml:space="preserve">כדורים בקוטר </w:t>
      </w:r>
      <w:r>
        <w:rPr/>
        <w:t>7.62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,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כדורים בקוטר חצי אינצ</w:t>
      </w:r>
      <w:r>
        <w:rPr>
          <w:rtl w:val="true"/>
        </w:rPr>
        <w:t xml:space="preserve">',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 xml:space="preserve">כדורים בקוטר </w:t>
      </w:r>
      <w:r>
        <w:rPr/>
        <w:t>7.62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של רובה קרבין</w:t>
      </w:r>
      <w:r>
        <w:rPr>
          <w:rtl w:val="true"/>
        </w:rPr>
        <w:t xml:space="preserve">, </w:t>
      </w:r>
      <w:r>
        <w:rPr/>
        <w:t>60</w:t>
      </w:r>
      <w:r>
        <w:rPr>
          <w:rtl w:val="true"/>
        </w:rPr>
        <w:t xml:space="preserve"> </w:t>
      </w:r>
      <w:r>
        <w:rPr>
          <w:rtl w:val="true"/>
        </w:rPr>
        <w:t xml:space="preserve">כדורים בקוטר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וכדור ציד אחד</w:t>
      </w:r>
      <w:r>
        <w:rPr>
          <w:rtl w:val="true"/>
        </w:rPr>
        <w:t xml:space="preserve">. </w:t>
      </w:r>
      <w:r>
        <w:rPr>
          <w:rtl w:val="true"/>
        </w:rPr>
        <w:t>כך גם לאחר שנמצא כי מתוך סך הכדורים הנזכר כ</w:t>
      </w:r>
      <w:r>
        <w:rPr>
          <w:rtl w:val="true"/>
        </w:rPr>
        <w:t xml:space="preserve">-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היו מחוררים וללא אבק שריפה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הצדדים הסכימו ביניהם כי קודם לגזירת דינו של הנאשם יתקבל בעניינו תסקיר שירות המבחן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  <w:bookmarkStart w:id="10" w:name="ABSTRACT_END"/>
      <w:bookmarkStart w:id="11" w:name="ABSTRACT_END"/>
      <w:bookmarkEnd w:id="11"/>
    </w:p>
    <w:p>
      <w:pPr>
        <w:pStyle w:val="Normal"/>
        <w:spacing w:lineRule="auto" w:line="360"/>
        <w:ind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 xml:space="preserve">תסקיר שירות מבחן שהתקבל בעניינו של הנאשם העלה כי הינו בן </w:t>
      </w:r>
      <w:r>
        <w:rPr/>
        <w:t>26</w:t>
      </w:r>
      <w:r>
        <w:rPr>
          <w:rtl w:val="true"/>
        </w:rPr>
        <w:t xml:space="preserve">, </w:t>
      </w:r>
      <w:r>
        <w:rPr>
          <w:rtl w:val="true"/>
        </w:rPr>
        <w:t xml:space="preserve">יליד רוסיה שעלה ארצה בשנת </w:t>
      </w:r>
      <w:r>
        <w:rPr/>
        <w:t>1990</w:t>
      </w:r>
      <w:r>
        <w:rPr>
          <w:rtl w:val="true"/>
        </w:rPr>
        <w:t xml:space="preserve"> </w:t>
      </w:r>
      <w:r>
        <w:rPr>
          <w:rtl w:val="true"/>
        </w:rPr>
        <w:t>ומתגורר במגדל העמק</w:t>
      </w:r>
      <w:r>
        <w:rPr>
          <w:rtl w:val="true"/>
        </w:rPr>
        <w:t xml:space="preserve">. </w:t>
      </w:r>
      <w:r>
        <w:rPr>
          <w:rtl w:val="true"/>
        </w:rPr>
        <w:t xml:space="preserve">עוד העלה התסקיר כי הנאשם בוגר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 xml:space="preserve">שנות לימוד וסיים בית ספר להנדסאים במגמת חשמל </w:t>
      </w:r>
      <w:r>
        <w:rPr>
          <w:rtl w:val="true"/>
        </w:rPr>
        <w:t>(</w:t>
      </w:r>
      <w:r>
        <w:rPr>
          <w:rtl w:val="true"/>
        </w:rPr>
        <w:t>הגם שלא סיים את פרויקט הגמר</w:t>
      </w:r>
      <w:r>
        <w:rPr>
          <w:rtl w:val="true"/>
        </w:rPr>
        <w:t xml:space="preserve">). </w:t>
      </w:r>
      <w:r>
        <w:rPr>
          <w:rtl w:val="true"/>
        </w:rPr>
        <w:t>כן סיים שירות צבאי באופן מלא וזאת לאחר שאופיין כחייל שקט</w:t>
      </w:r>
      <w:r>
        <w:rPr>
          <w:rtl w:val="true"/>
        </w:rPr>
        <w:t xml:space="preserve">, </w:t>
      </w:r>
      <w:r>
        <w:rPr>
          <w:rtl w:val="true"/>
        </w:rPr>
        <w:t>ממושמע</w:t>
      </w:r>
      <w:r>
        <w:rPr>
          <w:rtl w:val="true"/>
        </w:rPr>
        <w:t xml:space="preserve">, </w:t>
      </w:r>
      <w:r>
        <w:rPr>
          <w:rtl w:val="true"/>
        </w:rPr>
        <w:t>מקובל על חבריו המבצע את המוטל עליו על הצד הטוב ביותר וככלל בעל התנהגות טובה מאוד</w:t>
      </w:r>
      <w:r>
        <w:rPr>
          <w:rtl w:val="true"/>
        </w:rPr>
        <w:t xml:space="preserve">. </w:t>
      </w:r>
      <w:r>
        <w:rPr>
          <w:rtl w:val="true"/>
        </w:rPr>
        <w:t>בתוך כך הובהר כי הנאשם עובד בצורה מסודרת לפרנסתו</w:t>
      </w:r>
      <w:r>
        <w:rPr>
          <w:rtl w:val="true"/>
        </w:rPr>
        <w:t xml:space="preserve">. </w:t>
      </w:r>
      <w:r>
        <w:rPr>
          <w:rtl w:val="true"/>
        </w:rPr>
        <w:t xml:space="preserve">כן הובהר כי מגבלה ממנה סובל הנאשם </w:t>
      </w:r>
      <w:r>
        <w:rPr>
          <w:rtl w:val="true"/>
        </w:rPr>
        <w:t>(</w:t>
      </w:r>
      <w:r>
        <w:rPr>
          <w:rtl w:val="true"/>
        </w:rPr>
        <w:t>גמגום משנות ילדותו המוקדמת</w:t>
      </w:r>
      <w:r>
        <w:rPr>
          <w:rtl w:val="true"/>
        </w:rPr>
        <w:t xml:space="preserve">) </w:t>
      </w:r>
      <w:r>
        <w:rPr>
          <w:rtl w:val="true"/>
        </w:rPr>
        <w:t>השפיעה על בחירת דפוסי התמודדותו בחיים</w:t>
      </w:r>
      <w:r>
        <w:rPr>
          <w:rtl w:val="true"/>
        </w:rPr>
        <w:t xml:space="preserve">. </w:t>
      </w:r>
      <w:r>
        <w:rPr>
          <w:rtl w:val="true"/>
        </w:rPr>
        <w:t>הנאשם בחר להמעיט בקשרים חברתיים ומצא את מימושו בעיסוק בדברים טכניים</w:t>
      </w:r>
      <w:r>
        <w:rPr>
          <w:rtl w:val="true"/>
        </w:rPr>
        <w:t xml:space="preserve">, </w:t>
      </w:r>
      <w:r>
        <w:rPr>
          <w:rtl w:val="true"/>
        </w:rPr>
        <w:t>בניית מודלים</w:t>
      </w:r>
      <w:r>
        <w:rPr>
          <w:rtl w:val="true"/>
        </w:rPr>
        <w:t xml:space="preserve">, </w:t>
      </w:r>
      <w:r>
        <w:rPr>
          <w:rtl w:val="true"/>
        </w:rPr>
        <w:t>לימודי אלקטרוניקה וכיום בתחום המחשבים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 xml:space="preserve">עוד העלה התסקיר כי אימו של הנאשם נפטרה במפתיע בשנת </w:t>
      </w:r>
      <w:r>
        <w:rPr/>
        <w:t>2001</w:t>
      </w:r>
      <w:r>
        <w:rPr>
          <w:rtl w:val="true"/>
        </w:rPr>
        <w:t xml:space="preserve"> </w:t>
      </w:r>
      <w:r>
        <w:rPr>
          <w:rtl w:val="true"/>
        </w:rPr>
        <w:t>כתוצאת מחלה קשה וכי מותה נחווה כאירוע פתאומי וטרגי עבור בני המשפחה</w:t>
      </w:r>
      <w:r>
        <w:rPr>
          <w:rtl w:val="true"/>
        </w:rPr>
        <w:t xml:space="preserve">. </w:t>
      </w:r>
      <w:r>
        <w:rPr>
          <w:rtl w:val="true"/>
        </w:rPr>
        <w:t>שירות המבחן התרשם כי הנושא עדיין כאוב ולא מעובד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לגופו של עניין לקח הנאשם אחריות מלאה על מעשיו והבהיר כי אסף כלי נשק מגיל צעיר בשל צורך בחיזוק הדימוי הגברי וכי כשהתבגר היה לו חבל להיפרד מהאוסף</w:t>
      </w:r>
      <w:r>
        <w:rPr>
          <w:rtl w:val="true"/>
        </w:rPr>
        <w:t xml:space="preserve">. </w:t>
      </w:r>
      <w:r>
        <w:rPr>
          <w:rtl w:val="true"/>
        </w:rPr>
        <w:t>השירות התרשם כי הנאשם לא היה מודע לחומרת מעשיו וכי רק ההליך המשפטי חיבר אותו לבעייתיות הטמונה בעבירה זו</w:t>
      </w:r>
      <w:r>
        <w:rPr>
          <w:rtl w:val="true"/>
        </w:rPr>
        <w:t xml:space="preserve">. </w:t>
      </w:r>
      <w:r>
        <w:rPr>
          <w:rtl w:val="true"/>
        </w:rPr>
        <w:t>עם זאת שלל הנאשם צורך בהתערבות טיפולית והתנגד לכך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סופו של יום התרשם שירות המבחן כי לא מדובר בבעל דפוסי התנהגות עברייניים וכי נתוניו מלמדים על קיום כוחות ויכולת לניהול אורח חיים תקין</w:t>
      </w:r>
      <w:r>
        <w:rPr>
          <w:rtl w:val="true"/>
        </w:rPr>
        <w:t xml:space="preserve">. </w:t>
      </w:r>
      <w:r>
        <w:rPr>
          <w:rtl w:val="true"/>
        </w:rPr>
        <w:t>כך על אף שבצד האמור ישנה גם פרוגנוזה סקפטית להישנות התנהגות בעייתית בעתיד וזאת בשל הקושי להתמודד עם עולמו הרגשי</w:t>
      </w:r>
      <w:r>
        <w:rPr>
          <w:rtl w:val="true"/>
        </w:rPr>
        <w:t xml:space="preserve">. </w:t>
      </w:r>
      <w:r>
        <w:rPr>
          <w:rtl w:val="true"/>
        </w:rPr>
        <w:t>כך או אחרת המליץ שירות המבחן על ענישה חינוכית מסוג של</w:t>
      </w:r>
      <w:r>
        <w:rPr>
          <w:rtl w:val="true"/>
        </w:rPr>
        <w:t>"</w:t>
      </w:r>
      <w:r>
        <w:rPr>
          <w:rtl w:val="true"/>
        </w:rPr>
        <w:t xml:space="preserve">צ בהיקף </w:t>
      </w:r>
      <w:r>
        <w:rPr/>
        <w:t>180</w:t>
      </w:r>
      <w:r>
        <w:rPr>
          <w:rtl w:val="true"/>
        </w:rPr>
        <w:t xml:space="preserve"> </w:t>
      </w:r>
      <w:r>
        <w:rPr>
          <w:rtl w:val="true"/>
        </w:rPr>
        <w:t>שעות אשר תהיה אפקטיבית בנסיבות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חרף האמור ביקשה ב</w:t>
      </w:r>
      <w:r>
        <w:rPr>
          <w:rtl w:val="true"/>
        </w:rPr>
        <w:t>"</w:t>
      </w:r>
      <w:r>
        <w:rPr>
          <w:rtl w:val="true"/>
        </w:rPr>
        <w:t>כ המאשימה להשית על הנאשם מאסר בפועל ומאסר על תנאי ארוך ומרתיע</w:t>
      </w:r>
      <w:r>
        <w:rPr>
          <w:rtl w:val="true"/>
        </w:rPr>
        <w:t xml:space="preserve">. </w:t>
      </w:r>
      <w:r>
        <w:rPr>
          <w:rtl w:val="true"/>
        </w:rPr>
        <w:t>לתימוכין עמדה על חומרת העבירות והסכנה הטמונה בצידן לביטחון הציבור לאחר שאין לדעת באילו נסיבות עלול מצבור הנשק המשמעותי אותו החזיק הנאשם ליפול לידיים שליליות</w:t>
      </w:r>
      <w:r>
        <w:rPr>
          <w:rtl w:val="true"/>
        </w:rPr>
        <w:t xml:space="preserve">. </w:t>
      </w:r>
      <w:r>
        <w:rPr>
          <w:rtl w:val="true"/>
        </w:rPr>
        <w:t>לתימוכין הוגשה פסיקה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הסנגור מצידו הזכיר כי הנאשם הודה בעבירה מיד בהזדמנות הראשונה וכי לימים אף לקח אחריות מלאה על ביצוע העבירות שעה שעמד על חומרתן</w:t>
      </w:r>
      <w:r>
        <w:rPr>
          <w:rtl w:val="true"/>
        </w:rPr>
        <w:t xml:space="preserve">. </w:t>
      </w:r>
      <w:r>
        <w:rPr>
          <w:rtl w:val="true"/>
        </w:rPr>
        <w:t>עוד הבהיר כי לנאשם לא הייתה כל כוונה לעשות שימוש כלשהו בנשק וכי מדובר היה באוסף פרטי</w:t>
      </w:r>
      <w:r>
        <w:rPr>
          <w:rtl w:val="true"/>
        </w:rPr>
        <w:t xml:space="preserve">. </w:t>
      </w:r>
      <w:r>
        <w:rPr>
          <w:rtl w:val="true"/>
        </w:rPr>
        <w:t>בעניין זה אף הבהיר כי חלקם של הפריטים היו נטולי אבק שריפה</w:t>
      </w:r>
      <w:r>
        <w:rPr>
          <w:rtl w:val="true"/>
        </w:rPr>
        <w:t xml:space="preserve">. </w:t>
      </w:r>
      <w:r>
        <w:rPr>
          <w:rtl w:val="true"/>
        </w:rPr>
        <w:t>עוד הדגיש הסנגור כי מדובר בצעיר נורמטיבי</w:t>
      </w:r>
      <w:r>
        <w:rPr>
          <w:rtl w:val="true"/>
        </w:rPr>
        <w:t xml:space="preserve">, </w:t>
      </w:r>
      <w:r>
        <w:rPr>
          <w:rtl w:val="true"/>
        </w:rPr>
        <w:t>ללא עבר פלילי שהתנהלותו עד כה חיובית וההמלצות בעניינו טובות מאוד אף הן</w:t>
      </w:r>
      <w:r>
        <w:rPr>
          <w:rtl w:val="true"/>
        </w:rPr>
        <w:t xml:space="preserve">. </w:t>
      </w:r>
      <w:r>
        <w:rPr>
          <w:rtl w:val="true"/>
        </w:rPr>
        <w:t>כמו כן ציין כי הנאשם היה עצור למשך שבוע</w:t>
      </w:r>
      <w:r>
        <w:rPr>
          <w:rtl w:val="true"/>
        </w:rPr>
        <w:t xml:space="preserve">, </w:t>
      </w:r>
      <w:r>
        <w:rPr>
          <w:rtl w:val="true"/>
        </w:rPr>
        <w:t>שהה חודשיים נוספים במעצר בית מלא ושבעה חודשים לאחר מכן במעצר בית חלקי</w:t>
      </w:r>
      <w:r>
        <w:rPr>
          <w:rtl w:val="true"/>
        </w:rPr>
        <w:t xml:space="preserve">. </w:t>
      </w:r>
      <w:r>
        <w:rPr>
          <w:rtl w:val="true"/>
        </w:rPr>
        <w:t>בתוך כך איבחן בין הפסיקה שהוגשה על ידי ב</w:t>
      </w:r>
      <w:r>
        <w:rPr>
          <w:rtl w:val="true"/>
        </w:rPr>
        <w:t>"</w:t>
      </w:r>
      <w:r>
        <w:rPr>
          <w:rtl w:val="true"/>
        </w:rPr>
        <w:t>כ המאשימה לבין מעשי הנאשם</w:t>
      </w:r>
      <w:r>
        <w:rPr>
          <w:rtl w:val="true"/>
        </w:rPr>
        <w:t xml:space="preserve">. </w:t>
      </w:r>
      <w:r>
        <w:rPr>
          <w:rtl w:val="true"/>
        </w:rPr>
        <w:t>משכך ביקש לקבל המלצת שירות המבחן ולא למצות עם הנאשם את הדין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הנאשם מצידו הבהיר כי אינו יכול לתרץ את מעשיו אך ביקש התחשבות</w:t>
      </w:r>
      <w:r>
        <w:rPr>
          <w:rtl w:val="true"/>
        </w:rPr>
        <w:t xml:space="preserve">. </w:t>
      </w:r>
      <w:r>
        <w:rPr>
          <w:rtl w:val="true"/>
        </w:rPr>
        <w:t xml:space="preserve">בתוך כך ציין כי בשעותיו הפנויות הוא מתנדב בארגון </w:t>
      </w:r>
      <w:r>
        <w:rPr>
          <w:rtl w:val="true"/>
        </w:rPr>
        <w:t>"</w:t>
      </w:r>
      <w:r>
        <w:rPr>
          <w:rtl w:val="true"/>
        </w:rPr>
        <w:t>גרין</w:t>
      </w:r>
      <w:r>
        <w:rPr>
          <w:rtl w:val="true"/>
        </w:rPr>
        <w:t>-</w:t>
      </w:r>
      <w:r>
        <w:rPr>
          <w:rtl w:val="true"/>
        </w:rPr>
        <w:t>פיס</w:t>
      </w:r>
      <w:r>
        <w:rPr>
          <w:rtl w:val="true"/>
        </w:rPr>
        <w:t>".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אין ספק כי למעשיו של הנאשם נודעת חומרה יתרה</w:t>
      </w:r>
      <w:r>
        <w:rPr>
          <w:rtl w:val="true"/>
        </w:rPr>
        <w:t xml:space="preserve">. </w:t>
      </w:r>
      <w:r>
        <w:rPr>
          <w:rtl w:val="true"/>
        </w:rPr>
        <w:t>הנאשם החזיק בביתו מצבור נשק לא מבוטל ואין לדעת תוצאות מעשיו לו נפל מצבור נשק זה לידיים עברייניות או חלילה עוינות</w:t>
      </w:r>
      <w:r>
        <w:rPr>
          <w:rtl w:val="true"/>
        </w:rPr>
        <w:t xml:space="preserve">. </w:t>
      </w:r>
      <w:r>
        <w:rPr>
          <w:rtl w:val="true"/>
        </w:rPr>
        <w:t>על הציבור לדעת כי חל איסור מוחלט על החזקת נשק שלא כדין וכי בעניין זה אין ולא תהיינה פשרות בשים לב לסיכון הביטחוני הרב לשלום הציבור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עם זאת אין להתעלם מן העובדה כי הנאשם למד את לקחו ואף הבין החומרה הטמונה במעשיו</w:t>
      </w:r>
      <w:r>
        <w:rPr>
          <w:rtl w:val="true"/>
        </w:rPr>
        <w:t xml:space="preserve">. </w:t>
      </w:r>
      <w:r>
        <w:rPr>
          <w:rtl w:val="true"/>
        </w:rPr>
        <w:t>התנהלותו עד כה אף היא מלמדת כי מדובר בצעיר נורמטיבי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סופו של יום דומני איפוא כי ניתן להסתפק בדרך המלך העוברת בתווך שבין עמדות הצדדים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אשר על כן אני דנה את הנאשם לעונשים הבאים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 xml:space="preserve">חודשים מאסר על תנאי לתקופה של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 xml:space="preserve">שנים והתנאי הוא כי הנאשם לא יעבור בתוך תקופה זו כל עבירה לפי </w:t>
      </w:r>
      <w:hyperlink r:id="rId4">
        <w:r>
          <w:rPr>
            <w:rStyle w:val="Hyperlink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color w:val="0000FF"/>
            <w:u w:val="single"/>
          </w:rPr>
          <w:t>144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5">
        <w:r>
          <w:rPr>
            <w:rStyle w:val="Hyperlink"/>
            <w:rtl w:val="true"/>
          </w:rPr>
          <w:t>חוק 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 xml:space="preserve">ז – </w:t>
      </w:r>
      <w:r>
        <w:rPr/>
        <w:t>1977</w:t>
      </w:r>
      <w:r>
        <w:rPr>
          <w:rtl w:val="true"/>
        </w:rPr>
        <w:t xml:space="preserve"> </w:t>
      </w:r>
      <w:r>
        <w:rPr>
          <w:rtl w:val="true"/>
        </w:rPr>
        <w:t>ויורשע בגינה בין בתקופת התנאי ובין לאחריה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צו של</w:t>
      </w:r>
      <w:r>
        <w:rPr>
          <w:rtl w:val="true"/>
        </w:rPr>
        <w:t>"</w:t>
      </w:r>
      <w:r>
        <w:rPr>
          <w:rtl w:val="true"/>
        </w:rPr>
        <w:t xml:space="preserve">צ בהיקף </w:t>
      </w:r>
      <w:r>
        <w:rPr/>
        <w:t>180</w:t>
      </w:r>
      <w:r>
        <w:rPr>
          <w:rtl w:val="true"/>
        </w:rPr>
        <w:t xml:space="preserve"> </w:t>
      </w:r>
      <w:r>
        <w:rPr>
          <w:rtl w:val="true"/>
        </w:rPr>
        <w:t>שעות אותן ישלים הנאשם בתוך שנה מיום אישור תוכנית השל</w:t>
      </w:r>
      <w:r>
        <w:rPr>
          <w:rtl w:val="true"/>
        </w:rPr>
        <w:t>"</w:t>
      </w:r>
      <w:r>
        <w:rPr>
          <w:rtl w:val="true"/>
        </w:rPr>
        <w:t>צ על ידי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ab/>
      </w:r>
      <w:r>
        <w:rPr>
          <w:rtl w:val="true"/>
        </w:rPr>
        <w:t>שירות המבחן יגיש תוכנית של</w:t>
      </w:r>
      <w:r>
        <w:rPr>
          <w:rtl w:val="true"/>
        </w:rPr>
        <w:t>"</w:t>
      </w:r>
      <w:r>
        <w:rPr>
          <w:rtl w:val="true"/>
        </w:rPr>
        <w:t>צ לאישורי בתוך לא יאוחר מ</w:t>
      </w:r>
      <w:r>
        <w:rPr>
          <w:rtl w:val="true"/>
        </w:rPr>
        <w:t xml:space="preserve">-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יום מהיום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rtl w:val="true"/>
        </w:rPr>
        <w:t xml:space="preserve">קנס בסך </w:t>
      </w:r>
      <w:r>
        <w:rPr/>
        <w:t>5,000</w:t>
      </w:r>
      <w:r>
        <w:rPr>
          <w:rtl w:val="true"/>
        </w:rPr>
        <w:t xml:space="preserve"> ₪ </w:t>
      </w:r>
      <w:r>
        <w:rPr>
          <w:rtl w:val="true"/>
        </w:rPr>
        <w:t>או חודשיים מאסר תמורתו</w:t>
      </w:r>
      <w:r>
        <w:rPr>
          <w:rtl w:val="true"/>
        </w:rPr>
        <w:t xml:space="preserve">. </w:t>
      </w:r>
      <w:r>
        <w:rPr>
          <w:rtl w:val="true"/>
        </w:rPr>
        <w:t>הקנס ישולם ב</w:t>
      </w:r>
      <w:r>
        <w:rPr>
          <w:rtl w:val="true"/>
        </w:rPr>
        <w:t xml:space="preserve">-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 xml:space="preserve">תשלומים חודשיים שווים ורצופים החל ביום </w:t>
      </w:r>
      <w:r>
        <w:rPr/>
        <w:t>01.11.08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ab/>
      </w:r>
      <w:r>
        <w:rPr>
          <w:rtl w:val="true"/>
        </w:rPr>
        <w:t>אי תשלום אחד במועדו יעמיד את יתרת הקנס לפירעון מיידי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BodyText2"/>
        <w:ind w:end="0"/>
        <w:jc w:val="both"/>
        <w:rPr/>
      </w:pPr>
      <w:r>
        <w:rPr>
          <w:rtl w:val="true"/>
        </w:rPr>
        <w:t xml:space="preserve">זכות ערעור לבית המשפט המחוזי בנצרת בתוך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 מהיום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#4#</w:t>
      </w:r>
      <w:r>
        <w:rPr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b/>
          <w:b/>
          <w:bCs/>
          <w:rtl w:val="true"/>
        </w:rPr>
        <w:t xml:space="preserve">ניתנה והודעה היום </w:t>
      </w:r>
      <w:r>
        <w:rPr>
          <w:b/>
          <w:b/>
          <w:bCs/>
          <w:rtl w:val="true"/>
        </w:rPr>
        <w:t>י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ח אלול תשס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ח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18/09/2008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>.</w:t>
      </w:r>
    </w:p>
    <w:tbl>
      <w:tblPr>
        <w:bidiVisual w:val="true"/>
        <w:tblW w:w="4608" w:type="dxa"/>
        <w:jc w:val="start"/>
        <w:tblInd w:w="19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4608"/>
      </w:tblGrid>
      <w:tr>
        <w:trPr/>
        <w:tc>
          <w:tcPr>
            <w:tcW w:w="4608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spacing w:lineRule="auto" w:line="360"/>
              <w:ind w:end="0"/>
              <w:jc w:val="center"/>
              <w:rPr>
                <w:rFonts w:ascii="Times New Roman" w:hAnsi="Times New Roman" w:eastAsia="Times New Roman" w:cs="FrankRuehl"/>
              </w:rPr>
            </w:pPr>
            <w:r>
              <w:rPr>
                <w:rFonts w:eastAsia="Times New Roman" w:cs="FrankRuehl" w:ascii="Times New Roman" w:hAnsi="Times New Roman"/>
                <w:rtl w:val="true"/>
              </w:rPr>
            </w:r>
          </w:p>
        </w:tc>
      </w:tr>
      <w:tr>
        <w:trPr>
          <w:cantSplit w:val="true"/>
        </w:trPr>
        <w:tc>
          <w:tcPr>
            <w:tcW w:w="4608" w:type="dxa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ind w:end="0"/>
              <w:jc w:val="center"/>
              <w:rPr>
                <w:rFonts w:ascii="Times New Roman" w:hAnsi="Times New Roman" w:eastAsia="Times New Roman" w:cs="Times New Roman"/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>כרמלה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>רוטפלד</w:t>
            </w:r>
            <w:r>
              <w:rPr>
                <w:rFonts w:eastAsia="Times New Roman" w:cs="Times New Roman" w:ascii="Times New Roman" w:hAnsi="Times New Roman"/>
                <w:b/>
                <w:bCs/>
                <w:rtl w:val="true"/>
              </w:rPr>
              <w:t>-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>האפט</w:t>
            </w:r>
            <w:r>
              <w:rPr>
                <w:rFonts w:eastAsia="Times New Roman" w:cs="Times New Roman" w:ascii="Times New Roman" w:hAnsi="Times New Roman"/>
                <w:b/>
                <w:bCs/>
                <w:rtl w:val="true"/>
              </w:rPr>
              <w:t xml:space="preserve">, 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>שופטת</w:t>
            </w:r>
          </w:p>
        </w:tc>
      </w:tr>
    </w:tbl>
    <w:p>
      <w:pPr>
        <w:pStyle w:val="Normal"/>
        <w:ind w:end="0"/>
        <w:jc w:val="end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 המאשימה</w:t>
      </w:r>
      <w:r>
        <w:rPr>
          <w:rtl w:val="true"/>
        </w:rPr>
        <w:t xml:space="preserve">: </w:t>
      </w:r>
      <w:r>
        <w:rPr>
          <w:rtl w:val="true"/>
        </w:rPr>
        <w:t xml:space="preserve">אבקש המוצגים </w:t>
      </w:r>
      <w:r>
        <w:rPr>
          <w:rtl w:val="true"/>
        </w:rPr>
        <w:t>–</w:t>
      </w:r>
      <w:r>
        <w:rPr>
          <w:rtl w:val="true"/>
        </w:rPr>
        <w:t xml:space="preserve"> כל הנשק שנתפס </w:t>
      </w:r>
      <w:r>
        <w:rPr>
          <w:rtl w:val="true"/>
        </w:rPr>
        <w:t>–</w:t>
      </w:r>
      <w:r>
        <w:rPr>
          <w:rtl w:val="true"/>
        </w:rPr>
        <w:t xml:space="preserve"> להחזיר לצה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; </w:t>
      </w:r>
      <w:r>
        <w:rPr>
          <w:rtl w:val="true"/>
        </w:rPr>
        <w:t xml:space="preserve">המאווררים </w:t>
      </w:r>
      <w:r>
        <w:rPr>
          <w:rtl w:val="true"/>
        </w:rPr>
        <w:t>–</w:t>
      </w:r>
      <w:r>
        <w:rPr>
          <w:rtl w:val="true"/>
        </w:rPr>
        <w:t xml:space="preserve"> להחזיר לנאשם</w:t>
      </w:r>
      <w:r>
        <w:rPr>
          <w:rtl w:val="true"/>
        </w:rPr>
        <w:t xml:space="preserve">; </w:t>
      </w:r>
      <w:r>
        <w:rPr>
          <w:rtl w:val="true"/>
        </w:rPr>
        <w:t xml:space="preserve">והסם </w:t>
      </w:r>
      <w:r>
        <w:rPr>
          <w:rtl w:val="true"/>
        </w:rPr>
        <w:t>–</w:t>
      </w:r>
      <w:r>
        <w:rPr>
          <w:rtl w:val="true"/>
        </w:rPr>
        <w:t xml:space="preserve"> להשמדה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#5#</w:t>
      </w:r>
      <w:r>
        <w:rPr>
          <w:sz w:val="6"/>
          <w:szCs w:val="6"/>
          <w:rtl w:val="true"/>
        </w:rPr>
        <w:t>&gt;</w:t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>החלטה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cs="Arial" w:ascii="Arial" w:hAnsi="Arial"/>
          <w:b/>
          <w:bCs/>
          <w:sz w:val="24"/>
          <w:szCs w:val="24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כמבוקש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#6#</w:t>
      </w:r>
      <w:r>
        <w:rPr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>כרמלה רוטפלד</w:t>
      </w:r>
      <w:r>
        <w:rPr>
          <w:color w:val="000000"/>
          <w:sz w:val="22"/>
          <w:szCs w:val="22"/>
          <w:rtl w:val="true"/>
        </w:rPr>
        <w:t>-</w:t>
      </w:r>
      <w:r>
        <w:rPr>
          <w:color w:val="000000"/>
          <w:sz w:val="22"/>
          <w:sz w:val="22"/>
          <w:szCs w:val="22"/>
          <w:rtl w:val="true"/>
        </w:rPr>
        <w:t xml:space="preserve">האפט </w:t>
      </w:r>
      <w:r>
        <w:rPr>
          <w:color w:val="000000"/>
          <w:sz w:val="22"/>
          <w:szCs w:val="22"/>
        </w:rPr>
        <w:t>54678313</w:t>
      </w:r>
      <w:r>
        <w:rPr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end"/>
        <w:rPr/>
      </w:pPr>
      <w:r>
        <w:rPr>
          <w:color w:val="FFFFFF"/>
          <w:sz w:val="2"/>
          <w:szCs w:val="2"/>
        </w:rPr>
        <w:t>5467831354678313</w:t>
      </w:r>
    </w:p>
    <w:tbl>
      <w:tblPr>
        <w:bidiVisual w:val="true"/>
        <w:tblW w:w="4608" w:type="dxa"/>
        <w:jc w:val="start"/>
        <w:tblInd w:w="19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4608"/>
      </w:tblGrid>
      <w:tr>
        <w:trPr/>
        <w:tc>
          <w:tcPr>
            <w:tcW w:w="4608" w:type="dxa"/>
            <w:tcBorders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center"/>
              <w:rPr>
                <w:rFonts w:ascii="Times New Roman" w:hAnsi="Times New Roman" w:eastAsia="Times New Roman" w:cs="FrankRuehl"/>
              </w:rPr>
            </w:pPr>
            <w:r>
              <w:rPr>
                <w:b/>
                <w:b/>
                <w:bCs/>
                <w:rtl w:val="true"/>
              </w:rPr>
              <w:t>ניתנה והודעה היום י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ח אלול תשס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ח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Cs/>
              </w:rPr>
              <w:t>18/09/2008</w:t>
            </w:r>
            <w:r>
              <w:rPr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במעמד הנוכחים</w:t>
            </w:r>
            <w:r>
              <w:rPr>
                <w:b/>
                <w:bCs/>
                <w:rtl w:val="true"/>
              </w:rPr>
              <w:t xml:space="preserve">. </w:t>
            </w:r>
          </w:p>
        </w:tc>
      </w:tr>
      <w:tr>
        <w:trPr>
          <w:cantSplit w:val="true"/>
        </w:trPr>
        <w:tc>
          <w:tcPr>
            <w:tcW w:w="4608" w:type="dxa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ind w:end="0"/>
              <w:jc w:val="center"/>
              <w:rPr>
                <w:rFonts w:ascii="Times New Roman" w:hAnsi="Times New Roman" w:eastAsia="Times New Roman" w:cs="Times New Roman"/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>כרמלה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>רוטפלד</w:t>
            </w:r>
            <w:r>
              <w:rPr>
                <w:rFonts w:eastAsia="Times New Roman" w:cs="Times New Roman" w:ascii="Times New Roman" w:hAnsi="Times New Roman"/>
                <w:b/>
                <w:bCs/>
                <w:rtl w:val="true"/>
              </w:rPr>
              <w:t>-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>האפט</w:t>
            </w:r>
            <w:r>
              <w:rPr>
                <w:rFonts w:eastAsia="Times New Roman" w:cs="Times New Roman" w:ascii="Times New Roman" w:hAnsi="Times New Roman"/>
                <w:b/>
                <w:bCs/>
                <w:rtl w:val="true"/>
              </w:rPr>
              <w:t xml:space="preserve">, 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>שופטת</w:t>
            </w:r>
          </w:p>
        </w:tc>
      </w:tr>
    </w:tbl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color w:val="000000"/>
        </w:rPr>
      </w:pPr>
      <w:r>
        <w:rPr>
          <w:rFonts w:ascii="Arial" w:hAnsi="Arial" w:cs="FrankRuehl"/>
          <w:rtl w:val="true"/>
        </w:rPr>
        <w:t>הוקלד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FrankRuehl"/>
          <w:rtl w:val="true"/>
        </w:rPr>
        <w:t>על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FrankRuehl"/>
          <w:rtl w:val="true"/>
        </w:rPr>
        <w:t>ידי</w:t>
      </w:r>
      <w:r>
        <w:rPr>
          <w:rFonts w:cs="FrankRuehl" w:ascii="Arial" w:hAnsi="Arial"/>
          <w:rtl w:val="true"/>
        </w:rPr>
        <w:t xml:space="preserve">: </w:t>
      </w:r>
      <w:r>
        <w:rPr>
          <w:rFonts w:ascii="Arial" w:hAnsi="Arial" w:cs="FrankRuehl"/>
          <w:rtl w:val="true"/>
        </w:rPr>
        <w:t>שרה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FrankRuehl"/>
          <w:rtl w:val="true"/>
        </w:rPr>
        <w:t>וקנין</w:t>
      </w:r>
    </w:p>
    <w:p>
      <w:pPr>
        <w:pStyle w:val="Normal"/>
        <w:ind w:end="0"/>
        <w:jc w:val="start"/>
        <w:rPr/>
      </w:pPr>
      <w:r>
        <w:rPr>
          <w:rtl w:val="true"/>
        </w:rPr>
        <w:t>נוסח מסמך זה כפוף לשינויי ניסוח ועריכה</w:t>
      </w:r>
    </w:p>
    <w:sectPr>
      <w:headerReference w:type="default" r:id="rId6"/>
      <w:footerReference w:type="default" r:id="rId7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  <w:szCs w:val="24"/>
      </w:rPr>
    </w:pPr>
    <w:r>
      <w:rPr>
        <w:rFonts w:cs="FrankRuehl" w:ascii="FrankRuehl" w:hAnsi="FrankRuehl"/>
        <w:sz w:val="24"/>
        <w:szCs w:val="24"/>
        <w:rtl w:val="true"/>
      </w:rPr>
      <w:fldChar w:fldCharType="begin"/>
    </w:r>
    <w:r>
      <w:rPr>
        <w:rtl w:val="true"/>
        <w:sz w:val="24"/>
        <w:szCs w:val="24"/>
        <w:rFonts w:cs="FrankRuehl" w:ascii="FrankRuehl" w:hAnsi="FrankRuehl"/>
      </w:rPr>
      <w:instrText xml:space="preserve"> PAGE </w:instrText>
    </w:r>
    <w:r>
      <w:rPr>
        <w:rtl w:val="true"/>
        <w:sz w:val="24"/>
        <w:szCs w:val="24"/>
        <w:rFonts w:cs="FrankRuehl" w:ascii="FrankRuehl" w:hAnsi="FrankRuehl"/>
      </w:rPr>
      <w:fldChar w:fldCharType="separate"/>
    </w:r>
    <w:r>
      <w:rPr>
        <w:rtl w:val="true"/>
        <w:sz w:val="24"/>
        <w:szCs w:val="24"/>
        <w:rFonts w:cs="FrankRuehl" w:ascii="FrankRuehl" w:hAnsi="FrankRuehl"/>
      </w:rPr>
      <w:t>5</w:t>
    </w:r>
    <w:r>
      <w:rPr>
        <w:rtl w:val="true"/>
        <w:sz w:val="24"/>
        <w:szCs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/>
    </w:pPr>
    <w:r>
      <w:rPr>
        <w:rFonts w:ascii="Times New Roman" w:hAnsi="Times New Roman" w:cs="Times New Roman"/>
        <w:color w:val="000000"/>
        <w:szCs w:val="22"/>
        <w:rtl w:val="true"/>
      </w:rPr>
      <w:t>נבו הוצאה לאור בע</w:t>
    </w:r>
    <w:r>
      <w:rPr>
        <w:rFonts w:cs="Times New Roman" w:ascii="Times New Roman" w:hAnsi="Times New Roman"/>
        <w:color w:val="000000"/>
        <w:szCs w:val="22"/>
        <w:rtl w:val="true"/>
      </w:rPr>
      <w:t>"</w:t>
    </w:r>
    <w:r>
      <w:rPr>
        <w:rFonts w:ascii="Times New Roman" w:hAnsi="Times New Roman" w:cs="Times New Roman"/>
        <w:color w:val="000000"/>
        <w:szCs w:val="22"/>
        <w:rtl w:val="true"/>
      </w:rPr>
      <w:t xml:space="preserve">מ  </w:t>
    </w:r>
    <w:r>
      <w:rPr>
        <w:rFonts w:cs="Times New Roman" w:ascii="Times New Roman" w:hAnsi="Times New Roman"/>
        <w:color w:val="000000"/>
        <w:szCs w:val="22"/>
      </w:rPr>
      <w:t>nevo.co.il</w:t>
    </w:r>
    <w:r>
      <w:rPr>
        <w:rFonts w:cs="Times New Roman" w:ascii="Times New Roman" w:hAnsi="Times New Roman"/>
        <w:color w:val="000000"/>
        <w:szCs w:val="22"/>
        <w:rtl w:val="true"/>
      </w:rPr>
      <w:t xml:space="preserve">   </w:t>
    </w:r>
    <w:r>
      <w:rPr>
        <w:rFonts w:ascii="Times New Roman" w:hAnsi="Times New Roman" w:cs="Times New Roman"/>
        <w:color w:val="000000"/>
        <w:szCs w:val="22"/>
        <w:rtl w:val="true"/>
      </w:rPr>
      <w:t>המאגר המשפטי הישראלי</w:t>
    </w:r>
  </w:p>
  <w:p>
    <w:pPr>
      <w:pStyle w:val="Footer"/>
      <w:pBdr>
        <w:top w:val="single" w:sz="4" w:space="1" w:color="000000"/>
      </w:pBdr>
      <w:ind w:end="0"/>
      <w:jc w:val="start"/>
      <w:rPr>
        <w:rFonts w:ascii="Times New Roman" w:hAnsi="Times New Roman" w:cs="Times New Roman"/>
        <w:color w:val="000000"/>
        <w:sz w:val="14"/>
        <w:szCs w:val="14"/>
      </w:rPr>
    </w:pPr>
    <w:r>
      <w:rPr>
        <w:rFonts w:cs="Times New Roman" w:ascii="Times New Roman" w:hAnsi="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imes New Roman" w:ascii="Times New Roman" w:hAnsi="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imes New Roman" w:ascii="Times New Roman" w:hAnsi="Times New Roman"/>
        <w:color w:val="000000"/>
      </w:rPr>
      <w:fldChar w:fldCharType="separate"/>
    </w:r>
    <w:r>
      <w:rPr>
        <w:rtl w:val="true"/>
        <w:sz w:val="14"/>
        <w:szCs w:val="14"/>
        <w:rFonts w:cs="Times New Roman" w:ascii="Times New Roman" w:hAnsi="Times New Roman"/>
        <w:color w:val="000000"/>
      </w:rPr>
      <w:t>/Users/liorb/Downloads/study2025-p2/SH-07-2999.doc</w:t>
    </w:r>
    <w:r>
      <w:rPr>
        <w:rtl w:val="true"/>
        <w:sz w:val="14"/>
        <w:szCs w:val="14"/>
        <w:rFonts w:cs="Times New Roman" w:ascii="Times New Roman" w:hAnsi="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תפ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נצ</w:t>
    </w:r>
    <w:r>
      <w:rPr>
        <w:color w:val="000000"/>
        <w:sz w:val="22"/>
        <w:szCs w:val="22"/>
        <w:rtl w:val="true"/>
      </w:rPr>
      <w:t xml:space="preserve">') </w:t>
    </w:r>
    <w:r>
      <w:rPr>
        <w:color w:val="000000"/>
        <w:sz w:val="22"/>
        <w:szCs w:val="22"/>
      </w:rPr>
      <w:t>2999-07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</w:t>
    </w:r>
    <w:r>
      <w:rPr>
        <w:color w:val="000000"/>
        <w:sz w:val="22"/>
        <w:szCs w:val="22"/>
        <w:rtl w:val="true"/>
      </w:rPr>
      <w:t>.</w:t>
    </w:r>
    <w:r>
      <w:rPr>
        <w:color w:val="000000"/>
        <w:sz w:val="22"/>
        <w:sz w:val="22"/>
        <w:szCs w:val="22"/>
        <w:rtl w:val="true"/>
      </w:rPr>
      <w:t>י</w:t>
    </w:r>
    <w:r>
      <w:rPr>
        <w:color w:val="000000"/>
        <w:sz w:val="22"/>
        <w:szCs w:val="22"/>
        <w:rtl w:val="true"/>
      </w:rPr>
      <w:t xml:space="preserve">. </w:t>
    </w:r>
    <w:r>
      <w:rPr>
        <w:color w:val="000000"/>
        <w:sz w:val="22"/>
        <w:sz w:val="22"/>
        <w:szCs w:val="22"/>
        <w:rtl w:val="true"/>
      </w:rPr>
      <w:t>פרקליטות מחוז הצפון</w:t>
    </w:r>
    <w:r>
      <w:rPr>
        <w:color w:val="000000"/>
        <w:sz w:val="22"/>
        <w:szCs w:val="22"/>
        <w:rtl w:val="true"/>
      </w:rPr>
      <w:t>-</w:t>
    </w:r>
    <w:r>
      <w:rPr>
        <w:color w:val="000000"/>
        <w:sz w:val="22"/>
        <w:sz w:val="22"/>
        <w:szCs w:val="22"/>
        <w:rtl w:val="true"/>
      </w:rPr>
      <w:t>פלילי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 xml:space="preserve">סטניסלב גרנין 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CaseDisplayIdentifier" w:val="2999-07"/>
    <w:docVar w:name="caseId" w:val="1975444"/>
    <w:docVar w:name="deriveClass" w:val="NGCS.Protocol.BL.Client.ProtocolBLClientCriminal"/>
    <w:docVar w:name="firstPageNumber" w:val="9"/>
    <w:docVar w:name="MyInfo" w:val="This document was extracted from Nevo's site"/>
    <w:docVar w:name="NGCS.isReservedAddressPlace" w:val="0"/>
    <w:docVar w:name="NGCS.isReservedVoucherPlace" w:val="0"/>
    <w:docVar w:name="NGCS.TemplateCategoryID" w:val="14"/>
    <w:docVar w:name="privellegeId" w:val="1"/>
    <w:docVar w:name="protocolId" w:val="127705"/>
    <w:docVar w:name="releaseSign" w:val="0"/>
    <w:docVar w:name="sittingDateTime" w:val="18/09/2008 11:00     "/>
    <w:docVar w:name="sittingId" w:val="7140559"/>
    <w:docVar w:name="sittingTypeId" w:val="2"/>
    <w:docVar w:name="WordClientAssemblyName" w:val="NGCS.Protocol.BL.Client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David" w:hAnsi="David" w:eastAsia="David" w:cs="David"/>
      <w:color w:val="auto"/>
      <w:sz w:val="28"/>
      <w:szCs w:val="28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pacing w:before="240" w:after="60"/>
      <w:outlineLvl w:val="1"/>
    </w:pPr>
    <w:rPr>
      <w:b/>
      <w:bCs/>
      <w:i/>
      <w:iCs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before="240" w:after="60"/>
      <w:outlineLvl w:val="2"/>
    </w:pPr>
    <w:rPr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spacing w:before="240" w:after="60"/>
      <w:outlineLvl w:val="3"/>
    </w:pPr>
    <w:rPr>
      <w:rFonts w:ascii="Times New Roman" w:hAnsi="Times New Roman" w:cs="Times New Roman"/>
      <w:b/>
      <w:bCs/>
    </w:rPr>
  </w:style>
  <w:style w:type="character" w:styleId="WW8Num5z0">
    <w:name w:val="WW8Num5z0"/>
    <w:qFormat/>
    <w:rPr/>
  </w:style>
  <w:style w:type="character" w:styleId="WW8Num7z0">
    <w:name w:val="WW8Num7z0"/>
    <w:qFormat/>
    <w:rPr/>
  </w:style>
  <w:style w:type="character" w:styleId="WW8Num11z0">
    <w:name w:val="WW8Num11z0"/>
    <w:qFormat/>
    <w:rPr/>
  </w:style>
  <w:style w:type="character" w:styleId="WW8Num12z0">
    <w:name w:val="WW8Num12z0"/>
    <w:qFormat/>
    <w:rPr/>
  </w:style>
  <w:style w:type="character" w:styleId="DefaultParagraphFont">
    <w:name w:val="Default Paragraph Font"/>
    <w:qFormat/>
    <w:rPr/>
  </w:style>
  <w:style w:type="character" w:styleId="CommentReference">
    <w:name w:val="Comment Reference"/>
    <w:qFormat/>
    <w:rPr>
      <w:sz w:val="16"/>
      <w:szCs w:val="16"/>
    </w:rPr>
  </w:style>
  <w:style w:type="character" w:styleId="PageNumber">
    <w:name w:val="page number"/>
    <w:basedOn w:val="DefaultParagraphFont"/>
    <w:rPr/>
  </w:style>
  <w:style w:type="character" w:styleId="LineNumber">
    <w:name w:val="line number"/>
    <w:rPr>
      <w:rFonts w:cs="Arial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CommentText">
    <w:name w:val="Comment Text"/>
    <w:basedOn w:val="Normal"/>
    <w:qFormat/>
    <w:pPr/>
    <w:rPr>
      <w:rFonts w:ascii="Times New Roman" w:hAnsi="Times New Roman" w:eastAsia="Times New Roman" w:cs="Times New Roman"/>
      <w:sz w:val="20"/>
      <w:szCs w:val="20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12">
    <w:name w:val="רגיל + ‏12 נק'"/>
    <w:basedOn w:val="Normal"/>
    <w:qFormat/>
    <w:pPr/>
    <w:rPr>
      <w:rFonts w:ascii="Times New Roman" w:hAnsi="Times New Roman" w:eastAsia="Times New Roman" w:cs="Times New Roman"/>
      <w:b/>
      <w:bCs/>
      <w:sz w:val="24"/>
      <w:szCs w:val="24"/>
      <w:u w:val="single"/>
    </w:rPr>
  </w:style>
  <w:style w:type="paragraph" w:styleId="BodyText2">
    <w:name w:val="Body Text 2"/>
    <w:basedOn w:val="Normal"/>
    <w:qFormat/>
    <w:pPr>
      <w:spacing w:lineRule="auto" w:line="360"/>
      <w:jc w:val="both"/>
    </w:pPr>
    <w:rPr>
      <w:rFonts w:ascii="Times New Roman" w:hAnsi="Times New Roman" w:eastAsia="Times New Roman" w:cs="Times New Roman"/>
      <w:b/>
      <w:bCs/>
      <w:sz w:val="24"/>
      <w:szCs w:val="24"/>
      <w:u w:val="single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" TargetMode="External"/><Relationship Id="rId4" Type="http://schemas.openxmlformats.org/officeDocument/2006/relationships/hyperlink" Target="http://www.nevo.co.il/law/70301/144" TargetMode="External"/><Relationship Id="rId5" Type="http://schemas.openxmlformats.org/officeDocument/2006/relationships/hyperlink" Target="http://www.nevo.co.il/law/70301" TargetMode="Externa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2016-08-31T15:07:00Z</dcterms:created>
  <dc:creator>סתיו צולר</dc:creator>
  <dc:description/>
  <cp:keywords/>
  <dc:language>en-IL</dc:language>
  <cp:lastModifiedBy>run</cp:lastModifiedBy>
  <cp:lastPrinted>2008-09-18T11:27:00Z</cp:lastPrinted>
  <dcterms:modified xsi:type="dcterms:W3CDTF">2016-08-31T15:07:00Z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מ.י. פרקליטות מחוז הצפון-פלילי</vt:lpwstr>
  </property>
  <property fmtid="{D5CDD505-2E9C-101B-9397-08002B2CF9AE}" pid="3" name="APPELLEE">
    <vt:lpwstr>סטניסלב גרנין </vt:lpwstr>
  </property>
  <property fmtid="{D5CDD505-2E9C-101B-9397-08002B2CF9AE}" pid="4" name="CITY">
    <vt:lpwstr>נצ'</vt:lpwstr>
  </property>
  <property fmtid="{D5CDD505-2E9C-101B-9397-08002B2CF9AE}" pid="5" name="DATE">
    <vt:lpwstr>20080918</vt:lpwstr>
  </property>
  <property fmtid="{D5CDD505-2E9C-101B-9397-08002B2CF9AE}" pid="6" name="DELEMATA">
    <vt:lpwstr/>
  </property>
  <property fmtid="{D5CDD505-2E9C-101B-9397-08002B2CF9AE}" pid="7" name="ISABSTRACT">
    <vt:lpwstr>Y</vt:lpwstr>
  </property>
  <property fmtid="{D5CDD505-2E9C-101B-9397-08002B2CF9AE}" pid="8" name="JUDGE">
    <vt:lpwstr>כרמלה רוטפלד-האפט</vt:lpwstr>
  </property>
  <property fmtid="{D5CDD505-2E9C-101B-9397-08002B2CF9AE}" pid="9" name="LAWLISTTMP1">
    <vt:lpwstr>70301/144</vt:lpwstr>
  </property>
  <property fmtid="{D5CDD505-2E9C-101B-9397-08002B2CF9AE}" pid="10" name="LAWYER">
    <vt:lpwstr>עידית רייכרט;דוד קליינמן </vt:lpwstr>
  </property>
  <property fmtid="{D5CDD505-2E9C-101B-9397-08002B2CF9AE}" pid="11" name="LINKK1">
    <vt:lpwstr/>
  </property>
  <property fmtid="{D5CDD505-2E9C-101B-9397-08002B2CF9AE}" pid="12" name="LINKK10">
    <vt:lpwstr/>
  </property>
  <property fmtid="{D5CDD505-2E9C-101B-9397-08002B2CF9AE}" pid="13" name="LINKK11">
    <vt:lpwstr/>
  </property>
  <property fmtid="{D5CDD505-2E9C-101B-9397-08002B2CF9AE}" pid="14" name="LINKK12">
    <vt:lpwstr/>
  </property>
  <property fmtid="{D5CDD505-2E9C-101B-9397-08002B2CF9AE}" pid="15" name="LINKK2">
    <vt:lpwstr/>
  </property>
  <property fmtid="{D5CDD505-2E9C-101B-9397-08002B2CF9AE}" pid="16" name="LINKK3">
    <vt:lpwstr/>
  </property>
  <property fmtid="{D5CDD505-2E9C-101B-9397-08002B2CF9AE}" pid="17" name="LINKK4">
    <vt:lpwstr/>
  </property>
  <property fmtid="{D5CDD505-2E9C-101B-9397-08002B2CF9AE}" pid="18" name="LINKK5">
    <vt:lpwstr/>
  </property>
  <property fmtid="{D5CDD505-2E9C-101B-9397-08002B2CF9AE}" pid="19" name="LINKK6">
    <vt:lpwstr/>
  </property>
  <property fmtid="{D5CDD505-2E9C-101B-9397-08002B2CF9AE}" pid="20" name="LINKK7">
    <vt:lpwstr/>
  </property>
  <property fmtid="{D5CDD505-2E9C-101B-9397-08002B2CF9AE}" pid="21" name="LINKK8">
    <vt:lpwstr/>
  </property>
  <property fmtid="{D5CDD505-2E9C-101B-9397-08002B2CF9AE}" pid="22" name="LINKK9">
    <vt:lpwstr/>
  </property>
  <property fmtid="{D5CDD505-2E9C-101B-9397-08002B2CF9AE}" pid="23" name="NEWPARTA">
    <vt:lpwstr>2999</vt:lpwstr>
  </property>
  <property fmtid="{D5CDD505-2E9C-101B-9397-08002B2CF9AE}" pid="24" name="NEWPARTB">
    <vt:lpwstr/>
  </property>
  <property fmtid="{D5CDD505-2E9C-101B-9397-08002B2CF9AE}" pid="25" name="NEWPARTC">
    <vt:lpwstr>07</vt:lpwstr>
  </property>
  <property fmtid="{D5CDD505-2E9C-101B-9397-08002B2CF9AE}" pid="26" name="NEWPROC">
    <vt:lpwstr>תפ</vt:lpwstr>
  </property>
  <property fmtid="{D5CDD505-2E9C-101B-9397-08002B2CF9AE}" pid="27" name="PADIMAIL">
    <vt:lpwstr/>
  </property>
  <property fmtid="{D5CDD505-2E9C-101B-9397-08002B2CF9AE}" pid="28" name="PAGE">
    <vt:lpwstr/>
  </property>
  <property fmtid="{D5CDD505-2E9C-101B-9397-08002B2CF9AE}" pid="29" name="PART">
    <vt:lpwstr/>
  </property>
  <property fmtid="{D5CDD505-2E9C-101B-9397-08002B2CF9AE}" pid="30" name="PROCESS">
    <vt:lpwstr/>
  </property>
  <property fmtid="{D5CDD505-2E9C-101B-9397-08002B2CF9AE}" pid="31" name="PROCNUM">
    <vt:lpwstr/>
  </property>
  <property fmtid="{D5CDD505-2E9C-101B-9397-08002B2CF9AE}" pid="32" name="PROCYEAR">
    <vt:lpwstr/>
  </property>
  <property fmtid="{D5CDD505-2E9C-101B-9397-08002B2CF9AE}" pid="33" name="PSAKDIN">
    <vt:lpwstr>גזר-דין</vt:lpwstr>
  </property>
  <property fmtid="{D5CDD505-2E9C-101B-9397-08002B2CF9AE}" pid="34" name="TYPE">
    <vt:lpwstr>3</vt:lpwstr>
  </property>
  <property fmtid="{D5CDD505-2E9C-101B-9397-08002B2CF9AE}" pid="35" name="TYPE_ABS_DATE">
    <vt:lpwstr>380020080918</vt:lpwstr>
  </property>
  <property fmtid="{D5CDD505-2E9C-101B-9397-08002B2CF9AE}" pid="36" name="TYPE_N_DATE">
    <vt:lpwstr>38020080918</vt:lpwstr>
  </property>
  <property fmtid="{D5CDD505-2E9C-101B-9397-08002B2CF9AE}" pid="37" name="VOLUME">
    <vt:lpwstr/>
  </property>
  <property fmtid="{D5CDD505-2E9C-101B-9397-08002B2CF9AE}" pid="38" name="WORDNUMPAGES">
    <vt:lpwstr>4</vt:lpwstr>
  </property>
</Properties>
</file>