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30"/>
                <w:szCs w:val="3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 xml:space="preserve">בית המשפט המחוזי בתל אביב </w:t>
            </w:r>
            <w:r>
              <w:rPr>
                <w:rFonts w:cs="David" w:ascii="David" w:hAnsi="David"/>
                <w:b/>
                <w:bCs/>
                <w:color w:val="000080"/>
                <w:sz w:val="30"/>
                <w:szCs w:val="30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30003-03-22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שמואלי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2023</w:t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2"/>
          <w:szCs w:val="22"/>
        </w:rPr>
      </w:pP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61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3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בני שגיא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43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שרית שמש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361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243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שדה שמואלי 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נעמה אלחדד ועו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יותם קשפינצקי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0"/>
          <w:szCs w:val="30"/>
          <w:u w:val="single"/>
        </w:rPr>
      </w:pPr>
      <w:bookmarkStart w:id="10" w:name="PsakDin"/>
      <w:bookmarkEnd w:id="10"/>
      <w:r>
        <w:rPr>
          <w:rFonts w:ascii="David" w:hAnsi="David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30"/>
          <w:szCs w:val="30"/>
          <w:u w:val="single"/>
        </w:rPr>
      </w:pPr>
      <w:r>
        <w:rPr>
          <w:rFonts w:cs="David" w:ascii="David" w:hAnsi="David"/>
          <w:b/>
          <w:bCs/>
          <w:sz w:val="30"/>
          <w:szCs w:val="3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כללי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</w:rPr>
      </w:pPr>
      <w:bookmarkStart w:id="13" w:name="ABSTRACT_START"/>
      <w:bookmarkEnd w:id="13"/>
      <w:r>
        <w:rPr>
          <w:rFonts w:ascii="David" w:hAnsi="David"/>
          <w:rtl w:val="true"/>
        </w:rPr>
        <w:t>הנאשם הורשע על יסוד הודאתו בעבירה של סחר בסם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rtl w:val="true"/>
          </w:rPr>
          <w:t>פקודת</w:t>
        </w:r>
        <w:r>
          <w:rPr>
            <w:rStyle w:val="Hyperlink"/>
            <w:rFonts w:ascii="David" w:hAnsi="David"/>
            <w:rtl w:val="true"/>
          </w:rPr>
          <w:t xml:space="preserve"> הסמים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שתי 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</w:rPr>
      </w:pPr>
      <w:bookmarkStart w:id="14" w:name="ABSTRACT_END"/>
      <w:bookmarkEnd w:id="14"/>
      <w:r>
        <w:rPr>
          <w:rFonts w:ascii="David" w:hAnsi="David"/>
          <w:rtl w:val="true"/>
        </w:rPr>
        <w:t>במסגרת הסדר הטיעון שנקשר בין הצדדים תוקן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 גובשה 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הופנה לשרות המבחן עובר לשמיעת טיעוני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עובדות כתב האישום המתוקן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כתב האישום המתוקן הוא חלק מפרשה הכוללת מספר רב של כתבי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הופעל סוכן משטרתי כנגד מעורבים בעבירות סמים ונשק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עניינו של האישום הראשון</w:t>
      </w:r>
      <w:r>
        <w:rPr>
          <w:rFonts w:ascii="David" w:hAnsi="David"/>
          <w:rtl w:val="true"/>
        </w:rPr>
        <w:t xml:space="preserve"> במכירת </w:t>
      </w:r>
      <w:r>
        <w:rPr>
          <w:rFonts w:cs="David" w:ascii="David" w:hAnsi="David"/>
        </w:rPr>
        <w:t>97.5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סם מסוכן מסוג קוקאין לסוכן המשטרתי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 xml:space="preserve">עבירה שבוצעה בחודש 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אישום זה הורשע הנאשם בעבירה של סחר בסם מסוכן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עניינו של האישום השני </w:t>
      </w:r>
      <w:r>
        <w:rPr>
          <w:rFonts w:ascii="David" w:hAnsi="David"/>
          <w:rtl w:val="true"/>
        </w:rPr>
        <w:t>במכירת רובה סער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תואמים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לסוכן המשטרתי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62,500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 xml:space="preserve">עבירה שבוצעה בחודש יולי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אישום זה הורשע הנאשם בעבירה של סחר בנשק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עניינו של האישום השלישי </w:t>
      </w:r>
      <w:r>
        <w:rPr>
          <w:rFonts w:ascii="David" w:hAnsi="David"/>
          <w:rtl w:val="true"/>
        </w:rPr>
        <w:t>במכירת רובה סער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כולל מחסנית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במסגרת אישום זה הורשע הנאשם בעבירה של סחר בנשק ובעבירה של החזקת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נתוניו המורכבים של הנאשם כפי שעלו מהתסקיר ומראיות ההגנה לעונש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שרות המבחן תיאר בתסקירו את נתוניו של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ללא 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התמודד עם מערכת משפחתית מורכבת לצד אב שנקט באלימות כלפי אימו ומשפחתו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כלפי 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ובהמשך התמודד עם רצח אחיו על רקע מעורבות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אירועים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פיתח הנאשם קשיים לימודים ורגשיים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בין בתי ספר ולא גויס לצבא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עבד בעבודות מזדמנות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שמר על יציבות תעסוקתית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במשך כשנה במפעל שיש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הינו הצעיר מבין שישה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חווה את רציחתו של אחד מאחיו כאירוע טראומתי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האח המנוח היווה דמות דומיננטית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בקשר עם אחיו הבכור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אח נוסף מתמודד עם קשיים נפשיים משמעותיים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הוריו של הנאשם התגרשו בהיותו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ואימו מתמודדת אף היא עם קשיים נפשיים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ולוקה בסכיזופרניה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הוצגו מסמכים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אביו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בשנות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ריצה מספר תקופות מאסר בגין עבירות אלימות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אלימות במשפחה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תיאר כי היה קורבן לאלימות מצד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חשוף לאלימות קשה שהפעיל אביו כלפי אימו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קיבל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והסביר לקצינת המבחן כי אלו בוצעו על רקע היכרות מוקדמת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תושב השכונה בה גדל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שצוין בתסקיר כי הנאשם צמצם מעורבותו בכל הנוגע לעיסוק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התרשם כי נתוניו המשפחתיים המורכבים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הובילו לכך כי גדל ללא דמות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יכולה הייתה להוות עבורו דמות תומכת ומציבת 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אף נדרש למלא תפקידים אשר לא תאמו את גילו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בהינתן העובדה כי הנאשם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 אינו כולל 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צוין כי בהתחשב בגילו וקשייו שתוארו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מוצע כי ייבחנו עבורו אופציות שיקומיות במסגרת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מתן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עדויות שני אחיו ואחותו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אברהם ודמסי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שיקפו את המורכבות המשפחתית שתוארה אף בתסקיר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וכך תיאר אחיו רן את הדברים</w:t>
      </w:r>
      <w:r>
        <w:rPr>
          <w:rFonts w:cs="David" w:ascii="David" w:hAnsi="David"/>
          <w:rtl w:val="true"/>
        </w:rPr>
        <w:t>: 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וספגנו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מהמקלחת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כביסה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ומורכבים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לסכיזופרניה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נרצח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קמצוץ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>).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: 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בדיכאון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המקצועיים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התינוק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לרחוב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תינוק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תינוק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מהטראומה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Fonts w:ascii="David" w:hAnsi="David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);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tl w:val="true"/>
        </w:rPr>
        <w:t xml:space="preserve">; </w:t>
      </w:r>
      <w:r>
        <w:rPr>
          <w:rtl w:val="true"/>
        </w:rPr>
        <w:t>וסיכום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ab/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tl w:val="true"/>
        </w:rPr>
        <w:t xml:space="preserve">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)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וכדורים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וכדורים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>: "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דומיננטי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הדומיננטי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דומיננטי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Fonts w:ascii="David" w:hAnsi="David"/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אלחדד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הישרדותי</w:t>
      </w:r>
      <w:r>
        <w:rPr>
          <w:rtl w:val="true"/>
        </w:rPr>
        <w:t>-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>: 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לתסקיר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חשיפתו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מתמודדי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המוכרים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אובדניים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אזכרתו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ליכולות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tl w:val="true"/>
        </w:rPr>
        <w:t xml:space="preserve">..."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וכן</w:t>
      </w:r>
      <w:r>
        <w:rPr>
          <w:rtl w:val="true"/>
        </w:rPr>
        <w:t>: "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ביקרתי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התגרשו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באלכוהול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לחופשות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ובאלכוהול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מהאחים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>).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וכן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להיתמם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גדלתי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מתחם ענישה אחד או שני מתחמים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האירועים</w:t>
      </w:r>
      <w:r>
        <w:rPr>
          <w:b/>
          <w:bCs/>
          <w:u w:val="single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)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סחר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97.5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u w:val="single"/>
          <w:rtl w:val="true"/>
        </w:rPr>
        <w:t xml:space="preserve">)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Fonts w:ascii="Arial" w:hAnsi="Arial" w:cs="Aria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בבריאותו</w:t>
      </w:r>
      <w:r>
        <w:rPr>
          <w:rtl w:val="true"/>
        </w:rPr>
        <w:t xml:space="preserve">, </w:t>
      </w:r>
      <w:r>
        <w:rPr>
          <w:rtl w:val="true"/>
        </w:rPr>
        <w:t>ובאותם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שמאי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734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הנגע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7952/15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15.2.2016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 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6747/11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3.1.2013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9482/09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24.7.2011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ומלקוחותיהם</w:t>
      </w:r>
      <w:r>
        <w:rPr>
          <w:rtl w:val="true"/>
        </w:rPr>
        <w:t>".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בענייננו סחר הנאשם בהזדמנות אחת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97.5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סם מסוכן מסוג קוקאין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4.7.2012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</w:rPr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8367/18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12.3.2019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: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29.9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; </w:t>
      </w:r>
      <w:r>
        <w:rPr>
          <w:rtl w:val="true"/>
        </w:rPr>
        <w:t>וכזה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50.4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21.07.2015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06.09.2012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29707-03-22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15.2.2023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ובעסקה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35274-02-19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10.2.2020</w:t>
      </w:r>
      <w:r>
        <w:rPr>
          <w:rtl w:val="true"/>
        </w:rPr>
        <w:t xml:space="preserve">) -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מכלול הנתונים</w:t>
      </w:r>
      <w:r>
        <w:rPr>
          <w:rFonts w:ascii="Arial" w:hAnsi="Arial" w:cs="Arial"/>
          <w:rtl w:val="true"/>
        </w:rPr>
        <w:t xml:space="preserve">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המתחם לו עתרה התביעה הוא ראוי בנסיבותיו ומתיישב עם מדיניות הענישה הנוהגת ועל כן ראיתי לאמצו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אני קובע אפוא מתחם הנע בין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u w:val="single"/>
        </w:rPr>
      </w:pPr>
      <w:r>
        <w:rPr>
          <w:rFonts w:ascii="David" w:hAnsi="David"/>
          <w:u w:val="single"/>
          <w:rtl w:val="true"/>
        </w:rPr>
        <w:t xml:space="preserve">אישומים שני ושלישי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מכירת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קלצ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ניקוב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u w:val="single"/>
          <w:rtl w:val="true"/>
        </w:rPr>
        <w:t xml:space="preserve">)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בית המשפט העליון עמד</w:t>
      </w:r>
      <w:r>
        <w:rPr>
          <w:rFonts w:ascii="David" w:hAnsi="David"/>
          <w:rtl w:val="true"/>
        </w:rPr>
        <w:t xml:space="preserve"> לאורך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ובתקופה האחרונה תוך מתן דגש 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מגוון הערכים המוגנים הנפגעים כתוצאה מעבירות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שהמרכזי בהם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הצורך בשמירה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הצורך בהחמרת הענישה בעבירות מסוג זה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וכך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עבירות הנשק הפכו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חומרתן היתרה של 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פגיעתן הקשה והשפעתן על תחושת הביטחון של כלל אזרחי המדינה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זכו להתייחסות נרחבת בפסקי דין רבים של בית משפט 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צוין כי עבירות אלה מייצרות במהותן איומים וסיכונים משמעותיים לשלום הציבור וביטחונו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29.3.2022</w:t>
      </w:r>
      <w:r>
        <w:rPr>
          <w:rFonts w:cs="David" w:ascii="David" w:hAnsi="David"/>
          <w:b/>
          <w:bCs/>
          <w:rtl w:val="true"/>
        </w:rPr>
        <w:t xml:space="preserve">)), </w:t>
      </w:r>
      <w:r>
        <w:rPr>
          <w:rFonts w:ascii="David" w:hAnsi="David"/>
          <w:b/>
          <w:b/>
          <w:bCs/>
          <w:rtl w:val="true"/>
        </w:rPr>
        <w:t>והן מהוות בסיס לביצוע פעילות 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פשיעה לאומנית ופעולות טרור מסכנות חיים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ביאדסה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10.5.2022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זמינותם ונגישותם של כלי נשק בלתי חוקיים מאפשרות שימוש תדיר בנשק ככלי לפתרון סכסוכים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לעיתים תוך ירי באזורי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וגביית קורבנות בגוף ובנפש</w:t>
      </w:r>
      <w:r>
        <w:rPr>
          <w:rFonts w:cs="David" w:ascii="David" w:hAnsi="David"/>
          <w:rtl w:val="true"/>
        </w:rPr>
        <w:t>" 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טחאינה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עוד נקבע כי יש לראות את תופעת הסחר הבלתי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חוקי בנשק בחומרה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בהיותה יוצרת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מחתרתי וסוללת את הדרך לפעילות אלימה ובלתי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החיים מלמד כי נשק שמקורו מפוקפק מוצא את דרכו לידיים עברייניות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סחר בלתי חוקי בנשק מהווה אפוא נדבך משמעותי בשרשרת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וגדיעתו מהווה תנאי הכרחי למיגורם של מעשי אלימות חמורים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ראו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4.12.2011</w:t>
      </w:r>
      <w:r>
        <w:rPr>
          <w:rFonts w:cs="David" w:ascii="David" w:hAnsi="David"/>
          <w:rtl w:val="true"/>
        </w:rPr>
        <w:t xml:space="preserve">);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19.01.2017</w:t>
      </w:r>
      <w:r>
        <w:rPr>
          <w:rFonts w:cs="David" w:ascii="David" w:hAnsi="David"/>
          <w:rtl w:val="true"/>
        </w:rPr>
        <w:t>)].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וכך קבע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שטיין בפסק הדין 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הבהרתי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בפסק הדין שניתן באחרונה בהסכמת חבריי השופטים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אלרון וי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בית משפט שמקל בעונשו של עבריין נשק מכביד על החברה שנאלצת להגן על עצמה 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על כל בניה ובנותיה 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/>
      </w:pPr>
      <w:r>
        <w:rPr>
          <w:rFonts w:ascii="David" w:hAnsi="David"/>
          <w:rtl w:val="true"/>
        </w:rPr>
        <w:t>מגמת ההחמרה בענישה בעבירות הנשק באה לידי ביטוי גם בחקיקה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שנכנס לתוקפו ביום </w:t>
      </w:r>
      <w:r>
        <w:rPr>
          <w:rFonts w:cs="David" w:ascii="David" w:hAnsi="David"/>
        </w:rPr>
        <w:t>8.12.21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סעיף </w:t>
      </w:r>
      <w:hyperlink r:id="rId3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עונשי מינימום ביחס לעבירות נשק שונות ובהן העבירה מושא ההליך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שהעונש שיושת לא יפחת 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מטעמים מיוחדים שיירשמו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עונש מאסר זה בהיעדר טעמים מיוחדים לא יהיה כולו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חולק כי העבירה בעניינו בוצעה לאחר תיקון החוק כך העונש הקבוע בצידה של העבירה עומד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ועונש המינימום עומד על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שאפשר כי יושת בחלקו על תנאי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נסיבותיו הקונקרטיות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להידרש לנתונים הבאים אשר ישוקללו במסגרת המתחם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</w:rPr>
      </w:pP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כמות כלי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טיבם ומידת הנזק הגלומה בהם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לסוכן שני רובי סער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וכן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ולפחות ביחס לרובי הסער מדובר ב</w:t>
      </w:r>
      <w:r>
        <w:rPr>
          <w:rFonts w:ascii="David" w:hAnsi="David"/>
          <w:rtl w:val="true"/>
        </w:rPr>
        <w:t>כלי נשק בעלי פוטנציאל פגיעה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 הם בעלי משקל משמעותי בקביעת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בהקשר למידת הנזק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יש משקל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כי כלי הנשק נמכרו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ניתן היה לממש את פוטנציאל הפגיעה הטמון בהם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נגישות הנאשם לכלי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מעובדות כתב האישום המתוקן עולה נגישותו הרבה של הנאשם לכלי נשק ויכולתו להיות מעורב בהספקתם לכל דיכפין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הספקת תחמושת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לצד כלי הנשק שסופקו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סופקה גם תחמושת תואמת לכל אחד </w:t>
      </w:r>
      <w:r>
        <w:rPr>
          <w:rFonts w:ascii="David" w:hAnsi="David"/>
          <w:rtl w:val="true"/>
        </w:rPr>
        <w:t>מהרובים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ויש </w:t>
      </w:r>
      <w:r>
        <w:rPr>
          <w:rFonts w:ascii="David" w:hAnsi="David"/>
          <w:rtl w:val="true"/>
        </w:rPr>
        <w:t>לשקלל נתון זה ב</w:t>
      </w:r>
      <w:r>
        <w:rPr>
          <w:rFonts w:ascii="David" w:hAnsi="David"/>
          <w:rtl w:val="true"/>
        </w:rPr>
        <w:t>מתחם העונש ההולם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היקף הרווח הכספי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סך התמורה ששילם הסוכן עבור הסמים וכלי הנשק עמדה על </w:t>
      </w:r>
      <w:r>
        <w:rPr>
          <w:rFonts w:cs="David" w:ascii="David" w:hAnsi="David"/>
        </w:rPr>
        <w:t>162,500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מדובר בסכום משמעותי שיש לשקללו בקביעת במתחם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הגלומה בערכים במוגנים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מכירת ריבוי כלי הנשק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משמעותית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מדיניות הענישה הנוהגת</w:t>
      </w:r>
      <w:r>
        <w:rPr>
          <w:rFonts w:ascii="Arial" w:hAnsi="Arial" w:cs="Arial"/>
          <w:rtl w:val="true"/>
        </w:rPr>
        <w:t xml:space="preserve"> ביחס לעבירות סחר בנשק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מצאתי פסקי הדין הבאים כרלוונטיים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25.4.2023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 הורשע על יסוד הודאתו במסגרת הסדר טיעון בעבירת סחר בנשק ובתחמושת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שמכר בצוותא עם אחר רובה סער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בעניינו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קולת העונש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המשפט העליון קבע כי מתחם העונש שנקבע בעניינו של המשיב סוטה לקולה מהמתחם הראוי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והחמיר את עונשו כך שיעמוד על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  <w:u w:val="single"/>
        </w:rPr>
      </w:pP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28.7.2022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מדובר בדיון מאוחד בערעורם של ארבעה נאשמים על חומרת עונשם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ובערעור שכנגד שהגישה המדינה על קולת העונש של שלושה מהם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הנאשם הראשון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</w:t>
      </w:r>
      <w:r>
        <w:rPr>
          <w:rFonts w:ascii="Arial" w:hAnsi="Arial" w:cs="Arial"/>
          <w:b/>
          <w:b/>
          <w:bCs/>
          <w:rtl w:val="true"/>
        </w:rPr>
        <w:t>בשתי עבירות של סחר 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אקדח ורובה מסוג </w:t>
      </w:r>
      <w:r>
        <w:rPr>
          <w:rFonts w:cs="David" w:ascii="David" w:hAnsi="David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בעניינו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ascii="Arial" w:hAnsi="Arial" w:cs="Arial"/>
          <w:rtl w:val="true"/>
        </w:rPr>
        <w:t xml:space="preserve"> וגזר עליו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התקבל במובן זה שנוכו ימי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Fonts w:ascii="Arial" w:hAnsi="Arial" w:cs="Arial"/>
          <w:u w:val="single"/>
          <w:rtl w:val="true"/>
        </w:rPr>
        <w:t>הנאשם השני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') </w:t>
      </w:r>
      <w:r>
        <w:rPr>
          <w:rFonts w:ascii="Arial" w:hAnsi="Arial" w:cs="Arial"/>
          <w:rtl w:val="true"/>
        </w:rPr>
        <w:t xml:space="preserve">הורשע בביצוע </w:t>
      </w:r>
      <w:r>
        <w:rPr>
          <w:rFonts w:ascii="Arial" w:hAnsi="Arial" w:cs="Arial"/>
          <w:b/>
          <w:b/>
          <w:bCs/>
          <w:rtl w:val="true"/>
        </w:rPr>
        <w:t xml:space="preserve">שתי עבירות סחר ובשתי עבירות של החזקה </w:t>
      </w:r>
      <w:r>
        <w:rPr>
          <w:rFonts w:ascii="Arial" w:hAnsi="Arial" w:cs="Arial"/>
          <w:rtl w:val="true"/>
        </w:rPr>
        <w:t>הובלה ונשיאה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שנכח במפגשי תיאום של שתי עסקאות מכר של רובה מסוג </w:t>
      </w:r>
      <w:r>
        <w:rPr>
          <w:rFonts w:cs="David" w:ascii="David" w:hAnsi="David"/>
        </w:rPr>
        <w:t>M-16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את מבצעי העסקה למקום המפגש ואף נכנס לשטחי הרש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כדי להיפגש עם מוכר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עליו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כי עונשו סוטה לקולא במידה ניכרת מאמות המידה שנקבעו לעבירות מסוג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נכון היה להטיל עליו 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נוכח ההלכה כי ערכאת הערעור אינה ממצה את הדין שונה עונשו כך שירצה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שגזר בית המשפט המחוזי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r>
        <w:rPr>
          <w:rFonts w:ascii="Arial" w:hAnsi="Arial" w:cs="Arial"/>
          <w:u w:val="single"/>
          <w:rtl w:val="true"/>
        </w:rPr>
        <w:t>הנאשם 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') </w:t>
      </w:r>
      <w:r>
        <w:rPr>
          <w:rFonts w:ascii="Arial" w:hAnsi="Arial" w:cs="Arial"/>
          <w:rtl w:val="true"/>
        </w:rPr>
        <w:t xml:space="preserve">הורשע בביצוע </w:t>
      </w:r>
      <w:r>
        <w:rPr>
          <w:rFonts w:ascii="Arial" w:hAnsi="Arial" w:cs="Arial"/>
          <w:b/>
          <w:b/>
          <w:bCs/>
          <w:rtl w:val="true"/>
        </w:rPr>
        <w:t>עבירה אחת של סחר בנשק ועבירה אחת של החזקה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הובלה ונשיאת נשק</w:t>
      </w:r>
      <w:r>
        <w:rPr>
          <w:rFonts w:ascii="Arial" w:hAnsi="Arial" w:cs="Arial"/>
          <w:rtl w:val="true"/>
        </w:rPr>
        <w:t xml:space="preserve"> בצוותא חדא בכך ששימש איש ביניים באחת מעסקאות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לידיו את סכום הכסף מהסוכן וסיפק לסוכן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פועל יחד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עליו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החמיר בעונשו תוך שקבע כי היה נכון להטיל עליו עונש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עליו לבסוף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r>
        <w:rPr>
          <w:rFonts w:ascii="Arial" w:hAnsi="Arial" w:cs="Arial"/>
          <w:u w:val="single"/>
          <w:rtl w:val="true"/>
        </w:rPr>
        <w:t>הנאשם הרביעי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') </w:t>
      </w:r>
      <w:r>
        <w:rPr>
          <w:rFonts w:ascii="Arial" w:hAnsi="Arial" w:cs="Arial"/>
          <w:rtl w:val="true"/>
        </w:rPr>
        <w:t xml:space="preserve">הורשע בביצוע </w:t>
      </w:r>
      <w:r>
        <w:rPr>
          <w:rFonts w:ascii="Arial" w:hAnsi="Arial" w:cs="Arial"/>
          <w:b/>
          <w:b/>
          <w:bCs/>
          <w:rtl w:val="true"/>
        </w:rPr>
        <w:t>עבירה של סיוע לסחר בנשק ובעבירה של החזקה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הובלה ונשיאת נשק</w:t>
      </w:r>
      <w:r>
        <w:rPr>
          <w:rFonts w:ascii="Arial" w:hAnsi="Arial" w:cs="Arial"/>
          <w:rtl w:val="true"/>
        </w:rPr>
        <w:t xml:space="preserve">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שנכח במקום המפגש שנקבע לצורך מכירת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התלווה לסוכן ונשא עבורו את הנשק אל גג בית על מנת שיוכל לבודקו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עליו עונש של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בית המשפט העליון העמיד את עונשו על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4837/20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בעבירות של רכישה וסחר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בכך שרכש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ומכר אותו לאחר תמורת קיזוז חוב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 המערער אקדח נוסף וכחודש לאחר מכן מכר אותו לאותו אדם ממנו רכש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המערער בעבירה של החזקת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רובה מאולתר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למשך שעתיים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עליו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געביס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11.7.2019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קיבל את ערעור המדינה והחמיר בעונש המאסר בפועל שהושת על הנאשם בגין שלושה אישומים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שירצה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תוך מתן משקל לריבוי העבירות ועברו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המשפחתי המורכב והודאתו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בית המשפט את מגמת החמרת הענישה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מכר לסוכן משטרתי </w:t>
      </w:r>
      <w:r>
        <w:rPr>
          <w:rFonts w:ascii="David" w:hAnsi="David"/>
          <w:b/>
          <w:b/>
          <w:bCs/>
          <w:rtl w:val="true"/>
        </w:rPr>
        <w:t>שני אקדחים חצי אוטומטיים ומחסנית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רובה</w:t>
      </w:r>
      <w:r>
        <w:rPr>
          <w:rFonts w:ascii="David" w:hAnsi="David"/>
          <w:b/>
          <w:b/>
          <w:bCs/>
          <w:rtl w:val="true"/>
        </w:rPr>
        <w:t xml:space="preserve"> סער</w:t>
      </w:r>
      <w:r>
        <w:rPr>
          <w:rFonts w:ascii="David" w:hAnsi="David"/>
          <w:b/>
          <w:b/>
          <w:bCs/>
          <w:rtl w:val="true"/>
        </w:rPr>
        <w:t xml:space="preserve"> מסוג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M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מחסנית ושקית עם מספר רב של כדורים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/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16.8.2018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שם נדונו במאוחד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ערעורים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ערעור מדינה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בעניינם של שישה נאשמים שביצעו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נאשמים רלוונטיים לענייננו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שמכר שני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בשני אירועים שונים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לכל אירוע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וגזר על הנאשם עונש כולל של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דחה את ערעור המדינה</w:t>
      </w:r>
      <w:r>
        <w:rPr>
          <w:rFonts w:ascii="David" w:hAnsi="David"/>
          <w:rtl w:val="true"/>
        </w:rPr>
        <w:t xml:space="preserve"> על קולת העונש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 אקדח לסוכן משטרתי תוך שנקבע כי נאשם אחר היה האדם הדומיננטי בעסקה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 הנאשם</w:t>
      </w:r>
      <w:r>
        <w:rPr>
          <w:rFonts w:ascii="David" w:hAnsi="David"/>
          <w:rtl w:val="true"/>
        </w:rPr>
        <w:t xml:space="preserve">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54460-03-21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על יסוד הודאתו במסגרת הסדר טיעון בחמש עבירות של סחר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שתי עבירות של סחר בנשק ותחמושת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שתי עבירות של נשיאת נשק ושתי עבירות של 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לעבירות הנשק קבע בית המשפט מתחם נפרד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עליו עונש כולל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התחשבות בהליך השיקומי שעבר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 w:val="false"/>
        <w:jc w:val="both"/>
        <w:rPr>
          <w:rFonts w:ascii="David" w:hAnsi="David" w:cs="David"/>
        </w:rPr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27330-02-19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טרופימוב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5.1.2020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שנידון 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יסוד הודאתו במסגרת הסדר טיעון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בנשק בצוותא וסחר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שמכר לסוכן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 עסקאות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תחמושת ורימון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למכירת האקדח והתחמושת </w:t>
      </w:r>
      <w:r>
        <w:rPr>
          <w:rFonts w:ascii="David" w:hAnsi="David"/>
          <w:b/>
          <w:b/>
          <w:bCs/>
          <w:rtl w:val="true"/>
        </w:rPr>
        <w:t xml:space="preserve">קבעתי מתחם ענישה הולם הנע בין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</w:t>
      </w:r>
      <w:r>
        <w:rPr>
          <w:rFonts w:ascii="David" w:hAnsi="David"/>
          <w:rtl w:val="true"/>
        </w:rPr>
        <w:t>ר וגזרתי עליו 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תיק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כולל של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על יסוד מכלול הנתונים</w:t>
      </w:r>
      <w:r>
        <w:rPr>
          <w:rFonts w:ascii="Arial" w:hAnsi="Arial" w:cs="Arial"/>
          <w:rtl w:val="true"/>
        </w:rPr>
        <w:t xml:space="preserve">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ראיתי לקבוע </w:t>
      </w:r>
      <w:r>
        <w:rPr>
          <w:rFonts w:ascii="Arial" w:hAnsi="Arial" w:cs="Arial"/>
          <w:b/>
          <w:b/>
          <w:bCs/>
          <w:rtl w:val="true"/>
        </w:rPr>
        <w:t xml:space="preserve">ביחס לעבירות הנשק </w:t>
      </w:r>
      <w:r>
        <w:rPr>
          <w:rFonts w:ascii="Arial" w:hAnsi="Arial" w:cs="Arial"/>
          <w:b/>
          <w:b/>
          <w:bCs/>
          <w:rtl w:val="true"/>
        </w:rPr>
        <w:t>מתחם</w:t>
      </w:r>
      <w:r>
        <w:rPr>
          <w:rFonts w:ascii="Arial" w:hAnsi="Arial" w:cs="Arial"/>
          <w:b/>
          <w:b/>
          <w:bCs/>
          <w:rtl w:val="true"/>
        </w:rPr>
        <w:t xml:space="preserve"> ענישה</w:t>
      </w:r>
      <w:r>
        <w:rPr>
          <w:rFonts w:ascii="Arial" w:hAnsi="Arial" w:cs="Arial"/>
          <w:b/>
          <w:b/>
          <w:bCs/>
          <w:rtl w:val="true"/>
        </w:rPr>
        <w:t xml:space="preserve"> הנע בין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8.5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57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קביעת העונש המתאים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את העונש הכולל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ובהקשר זה ראיתי להתחשב בנתונים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הודאת הנאשם ונטילת 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במי שקיבל אחריות על מעשיו בפתח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שגובש הסדר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הודאת הנאשם הובילה לחסכון משמעותי בזמן 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לרבות בשמיעת עדות הסוכן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וחשוב מכך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יש בה כדי ללמד על הפנמת הפסול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שניתן לראותה כמצדיקה התחשבות משמעותית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hanging="23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נתונים אישיים ונסיבות חיים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התמונה שנחשפה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בראיות ההגנה לעונש ובעדויות אחיו ואחותו של הנאשם היא תמונה עגומה בדבר נסיבותיו חייו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נאלץ להתמודד עם מערכת משפחתית אלימה ולא מיטיבה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הובילה לכך שגדל ללא דמות הורית מדריכה ומכוונת תוך שקיבל על עצמו תפקידים שנער בגילו אינו מתמודד עמם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אזכיר כי לצד האלימות שהפעיל אביו של הנאשם כלפי אמו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וכלפי הנאשם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סובלת אמו של הנאשם מקשיים נפשיים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בעטיים עברה אשפוזים רבים במוסדות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ואלו כאמור רק תמצית הדברים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לעיתים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ושעה שמדובר בנאשם אשר מעורב במשך שנים באירועים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משקלם של הנתונים האישיים הקשים נשחק תחת גלגלי ההרשעות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לא כך הם פני הדברים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הנאשם צעיר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ולחובתו הרשעה אחת בלבד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בגינה הוטל עליו עונש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ללמדך על מידת החומרה הפחותה באותו אירוע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כך שהלכה למעשה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בפעם הראשונה בה מעניק בית המשפט משקל ממתן לנתונים קשים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המשקל המשמעותי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עבר פלילי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כפי שפורט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עברו הפלילי של הנאשם כולל הרשעה אחת בלבד בעבירת 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החזקת סם שלא לצריכה עצמית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שבוצעה לפני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והובילה להטלת עונש מאסר מותנה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57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סיכום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40" w:start="697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יש לראות במעורבותו של הנאשם בעולם הסמים ויכולתו לספק ולמכור לסוכן כמות סם משמעותית מסוג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מעורבותו בעולם הנשק הבלתי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נגישותו לכלי נשק מגוונים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ויכולתו לספק לסוכן שלושה כלי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מתוכם שני רובי סער ותחמושת מתאימה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כבסיס מוצדק להטלת עונש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המתיישב עם פסיקתו העדכנית של 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בכל זאת ראיתי להתחשב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של חפיפת רוב הענישה בגין אישום הסמים לאישומי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עשיתי כן נוכח השילוב שבין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קבלת האחריות המלאה והמידית ונסיבותיו חייו הקשות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אשר על כן ראיתי להטיל על הנאשם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28.2.22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הנאשם לא יישא עונש זה אלא אם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על פקודת הסמים מסוג פשע או עבירת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הנאשם לא יישא עונש זה אלא אם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נשק מסוג עוון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60,000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אשר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מיום </w:t>
      </w:r>
      <w:r>
        <w:rPr>
          <w:rFonts w:cs="Arial" w:ascii="Arial" w:hAnsi="Arial"/>
        </w:rPr>
        <w:t>1.1.27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חילוט בסך </w:t>
      </w:r>
      <w:r>
        <w:rPr>
          <w:rFonts w:cs="Arial" w:ascii="Arial" w:hAnsi="Arial"/>
        </w:rPr>
        <w:t>100,263</w:t>
      </w:r>
      <w:r>
        <w:rPr>
          <w:rFonts w:cs="Arial" w:ascii="Arial" w:hAnsi="Arial"/>
          <w:rtl w:val="true"/>
        </w:rPr>
        <w:t xml:space="preserve"> ₪ - </w:t>
      </w:r>
      <w:r>
        <w:rPr>
          <w:rFonts w:ascii="Arial" w:hAnsi="Arial" w:cs="Arial"/>
          <w:rtl w:val="true"/>
        </w:rPr>
        <w:t xml:space="preserve">שנתפס בחשבון </w:t>
      </w:r>
      <w:r>
        <w:rPr>
          <w:rFonts w:cs="Arial" w:ascii="Arial" w:hAnsi="Arial"/>
        </w:rPr>
        <w:t>23459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סניף </w:t>
      </w:r>
      <w:r>
        <w:rPr>
          <w:rFonts w:cs="Arial" w:ascii="Arial" w:hAnsi="Arial"/>
        </w:rPr>
        <w:t>762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בבנק הפועלים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כללי למוצגים לשיקול דעת קצין משטרה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69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כחוק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5" w:name="Nitan"/>
      <w:r>
        <w:rPr>
          <w:rFonts w:ascii="David" w:hAnsi="David"/>
          <w:b/>
          <w:b/>
          <w:bCs/>
          <w:rtl w:val="true"/>
        </w:rPr>
        <w:t>ניתן והודע היום 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סיוון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23/05/2023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5"/>
    </w:p>
    <w:p>
      <w:pPr>
        <w:pStyle w:val="Normal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בני שגיא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30003-03-22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שדה שמואלי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287" w:hanging="72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b.2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b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786821" TargetMode="External"/><Relationship Id="rId18" Type="http://schemas.openxmlformats.org/officeDocument/2006/relationships/hyperlink" Target="http://www.nevo.co.il/case/20683594" TargetMode="External"/><Relationship Id="rId19" Type="http://schemas.openxmlformats.org/officeDocument/2006/relationships/hyperlink" Target="http://www.nevo.co.il/case/5585052" TargetMode="External"/><Relationship Id="rId20" Type="http://schemas.openxmlformats.org/officeDocument/2006/relationships/hyperlink" Target="http://www.nevo.co.il/case/5726579" TargetMode="External"/><Relationship Id="rId21" Type="http://schemas.openxmlformats.org/officeDocument/2006/relationships/hyperlink" Target="http://www.nevo.co.il/case/5738608" TargetMode="External"/><Relationship Id="rId22" Type="http://schemas.openxmlformats.org/officeDocument/2006/relationships/hyperlink" Target="http://www.nevo.co.il/case/25179718" TargetMode="External"/><Relationship Id="rId23" Type="http://schemas.openxmlformats.org/officeDocument/2006/relationships/hyperlink" Target="http://www.nevo.co.il/case/20245898" TargetMode="External"/><Relationship Id="rId24" Type="http://schemas.openxmlformats.org/officeDocument/2006/relationships/hyperlink" Target="http://www.nevo.co.il/case/5583030" TargetMode="External"/><Relationship Id="rId25" Type="http://schemas.openxmlformats.org/officeDocument/2006/relationships/hyperlink" Target="http://www.nevo.co.il/case/28398427" TargetMode="External"/><Relationship Id="rId26" Type="http://schemas.openxmlformats.org/officeDocument/2006/relationships/hyperlink" Target="http://www.nevo.co.il/case/25447493" TargetMode="External"/><Relationship Id="rId27" Type="http://schemas.openxmlformats.org/officeDocument/2006/relationships/hyperlink" Target="http://www.nevo.co.il/case/28384637" TargetMode="External"/><Relationship Id="rId28" Type="http://schemas.openxmlformats.org/officeDocument/2006/relationships/hyperlink" Target="http://www.nevo.co.il/case/28243273" TargetMode="External"/><Relationship Id="rId29" Type="http://schemas.openxmlformats.org/officeDocument/2006/relationships/hyperlink" Target="http://www.nevo.co.il/case/28266138" TargetMode="External"/><Relationship Id="rId30" Type="http://schemas.openxmlformats.org/officeDocument/2006/relationships/hyperlink" Target="http://www.nevo.co.il/case/5821327" TargetMode="External"/><Relationship Id="rId31" Type="http://schemas.openxmlformats.org/officeDocument/2006/relationships/hyperlink" Target="http://www.nevo.co.il/case/21474520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g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9564821" TargetMode="External"/><Relationship Id="rId37" Type="http://schemas.openxmlformats.org/officeDocument/2006/relationships/hyperlink" Target="http://www.nevo.co.il/case/28697227" TargetMode="External"/><Relationship Id="rId38" Type="http://schemas.openxmlformats.org/officeDocument/2006/relationships/hyperlink" Target="http://www.nevo.co.il/case/26845110" TargetMode="External"/><Relationship Id="rId39" Type="http://schemas.openxmlformats.org/officeDocument/2006/relationships/hyperlink" Target="http://www.nevo.co.il/case/25430243" TargetMode="External"/><Relationship Id="rId40" Type="http://schemas.openxmlformats.org/officeDocument/2006/relationships/hyperlink" Target="http://www.nevo.co.il/case/23750625" TargetMode="External"/><Relationship Id="rId41" Type="http://schemas.openxmlformats.org/officeDocument/2006/relationships/hyperlink" Target="http://www.nevo.co.il/case/27500303" TargetMode="External"/><Relationship Id="rId42" Type="http://schemas.openxmlformats.org/officeDocument/2006/relationships/hyperlink" Target="http://www.nevo.co.il/case/25438968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2024-05-05T08:36:00Z</dcterms:created>
  <dc:creator> </dc:creator>
  <dc:description/>
  <cp:keywords/>
  <dc:language>en-IL</dc:language>
  <cp:lastModifiedBy>h1</cp:lastModifiedBy>
  <dcterms:modified xsi:type="dcterms:W3CDTF">2024-05-05T08:36:00Z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שדה שמואלי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5786821;5585052;5726579;5738608;25179718;20245898;5583030;28398427;25447493;28384637;28243273;28266138;5821327;21474520;28883087;29564821;28697227;26845110;25430243;23750625;27500303;25438968</vt:lpwstr>
  </property>
  <property fmtid="{D5CDD505-2E9C-101B-9397-08002B2CF9AE}" pid="9" name="CITY">
    <vt:lpwstr>ת"א</vt:lpwstr>
  </property>
  <property fmtid="{D5CDD505-2E9C-101B-9397-08002B2CF9AE}" pid="10" name="DATE">
    <vt:lpwstr>20230523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4216/013</vt:lpwstr>
  </property>
  <property fmtid="{D5CDD505-2E9C-101B-9397-08002B2CF9AE}" pid="15" name="LAWLISTTMP2">
    <vt:lpwstr>70301/144b.2;144.a;40jc.b;144.g</vt:lpwstr>
  </property>
  <property fmtid="{D5CDD505-2E9C-101B-9397-08002B2CF9AE}" pid="16" name="LAWYER">
    <vt:lpwstr>שרית שמש;נעמה אלחדד; יותם קשפינצקי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30003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390020230523</vt:lpwstr>
  </property>
  <property fmtid="{D5CDD505-2E9C-101B-9397-08002B2CF9AE}" pid="35" name="TYPE_N_DATE">
    <vt:lpwstr>39020230523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