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3002-09-20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רונית בש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מוחמד חג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אזי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מוסטפא חג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אזי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11/3/21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בעובדות  כתב האישום המתוקן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בביצוע עבירה של שוד בנסיבות מחמירות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15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ובעבירה של ירי מנשק חם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עבירה לפי סעיפים </w:t>
      </w:r>
      <w:hyperlink r:id="rId17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)+(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 xml:space="preserve">-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בביצוע עבירה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נשיאה והובלה של נשק – עבירות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hyperlink r:id="rId1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ובעבירה של סיוע לשוד בנסיבות מחמירות – עבירה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2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תוקן במסגרת של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גובשה בין הצדדים הסכמה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כתב האישום המתוקן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9/8/20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הקשר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9/8/20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1:40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</w:t>
      </w:r>
      <w:r>
        <w:rPr>
          <w:rtl w:val="true"/>
        </w:rPr>
        <w:t xml:space="preserve">' </w:t>
      </w:r>
      <w:r>
        <w:rPr>
          <w:rtl w:val="true"/>
        </w:rPr>
        <w:t>מטאלי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9/8/20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צלצלו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לפיצריי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tl w:val="true"/>
        </w:rPr>
        <w:t xml:space="preserve">"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ההזמנה</w:t>
      </w:r>
      <w:r>
        <w:rPr>
          <w:rtl w:val="true"/>
        </w:rPr>
        <w:t xml:space="preserve">) </w:t>
      </w:r>
      <w:r>
        <w:rPr>
          <w:rtl w:val="true"/>
        </w:rPr>
        <w:t>לרחבה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</w:t>
      </w:r>
      <w:r>
        <w:rPr>
          <w:rtl w:val="true"/>
        </w:rPr>
        <w:t>'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מקום מסירת הפיצה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התיק</w:t>
      </w:r>
      <w:r>
        <w:rPr>
          <w:rtl w:val="true"/>
        </w:rPr>
        <w:t xml:space="preserve">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הנשק הטעון</w:t>
      </w:r>
      <w:r>
        <w:rPr>
          <w:rtl w:val="true"/>
        </w:rPr>
        <w:t xml:space="preserve">).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שיסתירם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תסקיר שירות המבחן בעניינו של נאשם </w:t>
      </w:r>
      <w:r>
        <w:rPr>
          <w:rFonts w:cs="Miriam" w:ascii="Miriam" w:hAnsi="Miriam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 שירות המבחן שהוגש על אודות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 xml:space="preserve">בפרק זה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עולה כי הלה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 עבר פלילי נקי ללא רבב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טרם האירוע </w:t>
      </w:r>
      <w:r>
        <w:rPr>
          <w:rFonts w:ascii="David" w:hAnsi="David"/>
          <w:rtl w:val="true"/>
        </w:rPr>
        <w:t xml:space="preserve">הנדון </w:t>
      </w:r>
      <w:r>
        <w:rPr>
          <w:rFonts w:ascii="David" w:hAnsi="David"/>
          <w:rtl w:val="true"/>
        </w:rPr>
        <w:t>התגורר הנאשם בבית הוריו בטמרה ועבד בחברה לעבודות עפר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להתייחסותו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כי הנאשם מודה אך באופן חלקי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 את ביצועה באופן שטחי והקטין את חלקו בביצועה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סבור כי הרקע לביצוע העבירה נעוץ בהיותו של הנאשם מעורה בחברה שולית בה קיימת לגיטימציה לביצוע עבירות אלימות ושימוש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ציין כי הנאשם מתקשה לקחת אחריות ונוטה להטילה על גורמים חיצוניים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בבואו לשקול את גורמי הסיכון להישנות עבירות אל מול גורמי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 שירות המבחן את גילו הצעיר של הנאשם אשר זוהי מעורבותו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התרשמותו מיכולותיו הקוגניטיבי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התקינות של הנאשם ושאיפותיו לנהל אורח חיים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במסגרת 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נשקלו חומרת העבירה ופוטנציאל הנזק הגלום בה וקשייו של הנאשם לקבל מרות מגורמי אכיפת 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תקופת המעצר בפיקוח האלקטרוני  נפתח לנאשם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למטרת יציאה לטיפול שיניים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שהטיפול בוטל והנאשם ניצל את  החלון שנפתח עבורו לטובת ביקור בבית הוריו ובכך הפר את תנאי מעצרו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שירות המבחן התרשם כי הנאשם נוטה לשתף באופן מצמצם ולטשטש חלקים ניכרים הנוגעים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מעורה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בחברה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ובמצבים של אירועי אלימות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אינו נסוג לאחור אלא מסלים את המצב ופועל באופן אימפולסיבי  ללא יכולת לשלוט בדחפיו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אף התקשה להצביע על מוקדי קושי באישיותו הזקוקים לטיפול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מעריך כי שילובם של כל גורמי הסיכון עלול  להגביר את הסיכון להישנות התנהגות עוברת חוק מצדו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נמנע שירות המבחן מלבוא בהמלצה טיפולית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וממליץ להשית עליו עונש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תסקיר שירות המבחן בעניינו של נאשם </w:t>
      </w:r>
      <w:r>
        <w:rPr>
          <w:rFonts w:cs="Miriam" w:ascii="Miriam" w:hAnsi="Miriam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פרוגנוז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Miriam" w:ascii="Miriam" w:hAnsi="Miriam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tl w:val="true"/>
        </w:rPr>
        <w:t xml:space="preserve">). 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השאן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נמנע מלבוא בהמלצה טיפולית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 המליץ להשית עליו עונש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ומאסר על תנאי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;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tl w:val="true"/>
        </w:rPr>
        <w:t xml:space="preserve">,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מתווה את העיקרון המנחה כיום את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בבואו לגזור דינו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 צריך להתקיים יחס הולם בין חומרת מעשה העבירה בנסיבותיו ומידת אשמו של הנאשם 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יחס זה 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עיקרון הגמול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1523/10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18/4/12</w:t>
      </w:r>
      <w:r>
        <w:rPr>
          <w:rFonts w:cs="David" w:ascii="David" w:hAnsi="David"/>
          <w:rtl w:val="true"/>
        </w:rPr>
        <w:t xml:space="preserve">). </w:t>
      </w:r>
      <w:hyperlink r:id="rId2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קובע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לקבוע מתחם עונש הולם למעשה העבירה שביצע הנאשם בהתאם לעיקרון המנחה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יתחשב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הכלולות </w:t>
      </w:r>
      <w:hyperlink r:id="rId28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 דנן אין חולק כי העבירות המיוחסות לכל אחד מהנאשמים מהוות  אירוע אחד שהרי מדובר במסכת עבריינית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אותו אירוע  ייקבע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כל נאשם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מתחם העונש ההולם בתיק זה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הערך החברתי שנפגע כתוצאה מביצוע עבירת השוד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שלומ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ובטחונ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</w:t>
      </w:r>
      <w:r>
        <w:rPr>
          <w:rFonts w:ascii="David" w:hAnsi="David"/>
          <w:rtl w:val="true"/>
        </w:rPr>
        <w:t xml:space="preserve">המתלונן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צד הפגיעה ברכוש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</w:t>
      </w:r>
      <w:r>
        <w:rPr>
          <w:rFonts w:ascii="David" w:hAnsi="David"/>
          <w:rtl w:val="true"/>
        </w:rPr>
        <w:t>ביקש להרוויח את לחמ</w:t>
      </w:r>
      <w:r>
        <w:rPr>
          <w:rFonts w:ascii="David" w:hAnsi="David"/>
          <w:rtl w:val="true"/>
        </w:rPr>
        <w:t xml:space="preserve">ו </w:t>
      </w:r>
      <w:r>
        <w:rPr>
          <w:rFonts w:ascii="David" w:hAnsi="David"/>
          <w:rtl w:val="true"/>
        </w:rPr>
        <w:t xml:space="preserve"> בכבוד ומצא עצמ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נתו</w:t>
      </w:r>
      <w:r>
        <w:rPr>
          <w:rFonts w:ascii="David" w:hAnsi="David"/>
          <w:rtl w:val="true"/>
        </w:rPr>
        <w:t xml:space="preserve">ן </w:t>
      </w:r>
      <w:r>
        <w:rPr>
          <w:rFonts w:ascii="David" w:hAnsi="David"/>
          <w:rtl w:val="true"/>
        </w:rPr>
        <w:t>בידי פורעי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</w:t>
      </w:r>
      <w:r>
        <w:rPr>
          <w:rFonts w:ascii="David" w:hAnsi="David"/>
          <w:rtl w:val="true"/>
        </w:rPr>
        <w:t xml:space="preserve"> פעלו </w:t>
      </w:r>
      <w:r>
        <w:rPr>
          <w:rFonts w:ascii="David" w:hAnsi="David"/>
          <w:rtl w:val="true"/>
        </w:rPr>
        <w:t>ממניע של</w:t>
      </w:r>
      <w:r>
        <w:rPr>
          <w:rFonts w:ascii="David" w:hAnsi="David"/>
          <w:rtl w:val="true"/>
        </w:rPr>
        <w:t xml:space="preserve"> בצע כסף </w:t>
      </w:r>
      <w:r>
        <w:rPr>
          <w:rFonts w:ascii="David" w:hAnsi="David"/>
          <w:rtl w:val="true"/>
        </w:rPr>
        <w:t>ובהתנהלותם סיכנו חיי אדם עת שעשו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שימוש בנשק חם במהלך האירוע ממנו  נורו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 לעבר רגלי המתלונן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נלוותה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/>
        <w:t>20</w:t>
      </w:r>
      <w:r>
        <w:rPr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rtl w:val="true"/>
        </w:rPr>
        <w:t xml:space="preserve">פניה הרבים של </w:t>
      </w:r>
      <w:r>
        <w:rPr>
          <w:rFonts w:ascii="David" w:hAnsi="David"/>
          <w:rtl w:val="true"/>
        </w:rPr>
        <w:t>עבירת השוד יפים דבריו הבאים של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שנאמרו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4841/13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ספי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6.2.14</w:t>
      </w:r>
      <w:r>
        <w:rPr>
          <w:rFonts w:cs="David" w:ascii="David" w:hAnsi="David"/>
          <w:rtl w:val="true"/>
        </w:rPr>
        <w:t xml:space="preserve"> ):</w:t>
      </w:r>
    </w:p>
    <w:p>
      <w:pPr>
        <w:pStyle w:val="Normal"/>
        <w:spacing w:lineRule="atLeast" w:line="360"/>
        <w:ind w:hanging="720" w:start="720" w:end="0"/>
        <w:jc w:val="both"/>
        <w:rPr>
          <w:rFonts w:ascii="David" w:hAnsi="David" w:cs="David"/>
          <w:sz w:val="27"/>
          <w:szCs w:val="27"/>
        </w:rPr>
      </w:pPr>
      <w:r>
        <w:rPr>
          <w:rFonts w:eastAsia="David" w:cs="David" w:ascii="David" w:hAnsi="David"/>
          <w:sz w:val="27"/>
          <w:szCs w:val="27"/>
          <w:rtl w:val="true"/>
        </w:rPr>
        <w:t xml:space="preserve"> </w:t>
      </w:r>
    </w:p>
    <w:p>
      <w:pPr>
        <w:pStyle w:val="Normal"/>
        <w:spacing w:lineRule="atLeast" w:line="360"/>
        <w:ind w:hanging="720" w:start="1417" w:end="851"/>
        <w:jc w:val="both"/>
        <w:rPr>
          <w:rFonts w:ascii="Miriam" w:hAnsi="Miriam" w:cs="Miriam"/>
          <w:color w:val="000000"/>
        </w:rPr>
      </w:pPr>
      <w:r>
        <w:rPr>
          <w:rFonts w:eastAsia="Miriam" w:cs="Miriam" w:ascii="Miriam" w:hAnsi="Miriam"/>
          <w:color w:val="000000"/>
          <w:rtl w:val="true"/>
        </w:rPr>
        <w:t xml:space="preserve">            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באשר לקביעת מתחם העונש ההולם – כנודע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לובשת עבירת השוד פנים וצורות רבות וקביעת מתחמי הענישה ההולמים בגינה מגוונת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 xml:space="preserve">אך פטור בלא כלום אי אפשר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בבלי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חולין כז ע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ב</w:t>
      </w:r>
      <w:r>
        <w:rPr>
          <w:rFonts w:cs="Miriam" w:ascii="Miriam" w:hAnsi="Miriam"/>
          <w:color w:val="000000"/>
          <w:rtl w:val="true"/>
        </w:rPr>
        <w:t xml:space="preserve">), </w:t>
      </w:r>
      <w:r>
        <w:rPr>
          <w:rFonts w:ascii="Miriam" w:hAnsi="Miriam" w:cs="Miriam"/>
          <w:color w:val="000000"/>
          <w:rtl w:val="true"/>
        </w:rPr>
        <w:t xml:space="preserve">ואת המסגרת קבע כמובן המחוקק בקביעת 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תג העונש</w:t>
      </w:r>
      <w:r>
        <w:rPr>
          <w:rFonts w:cs="Miriam" w:ascii="Miriam" w:hAnsi="Miriam"/>
          <w:color w:val="000000"/>
          <w:rtl w:val="true"/>
        </w:rPr>
        <w:t xml:space="preserve">" </w:t>
      </w:r>
      <w:r>
        <w:rPr>
          <w:rFonts w:ascii="Miriam" w:hAnsi="Miriam" w:cs="Miriam"/>
          <w:color w:val="000000"/>
          <w:rtl w:val="true"/>
        </w:rPr>
        <w:t>לעבירה זו – אין זהה דינה של עבירה שנעברה תוך פגיעה פיסית אלימה לעבירה שבוצעה על דרך הפחדה בלבד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>אין זהה דינה של עבירה שנעברה לאחר תכנון והכנה מוקדמים לעבירה אקראית</w:t>
      </w:r>
      <w:r>
        <w:rPr>
          <w:rFonts w:cs="Miriam" w:ascii="Miriam" w:hAnsi="Miriam"/>
          <w:color w:val="000000"/>
          <w:rtl w:val="true"/>
        </w:rPr>
        <w:t>-</w:t>
      </w:r>
      <w:r>
        <w:rPr>
          <w:rFonts w:ascii="Miriam" w:hAnsi="Miriam" w:cs="Miriam"/>
          <w:color w:val="000000"/>
          <w:rtl w:val="true"/>
        </w:rPr>
        <w:t>ספונטנית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>אין זהה דינה של עבירה שנעברה  בחבורה לדינה של עבירת אדם יחיד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>אין זהה דינה של עבירה שנעשתה תוך שימוש בנשק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חם או קר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לעבירה שנעשתה ללא שימוש בנשק</w:t>
      </w:r>
      <w:r>
        <w:rPr>
          <w:rFonts w:cs="Miriam" w:ascii="Miriam" w:hAnsi="Miriam"/>
          <w:color w:val="000000"/>
          <w:rtl w:val="true"/>
        </w:rPr>
        <w:t xml:space="preserve">; </w:t>
      </w:r>
      <w:r>
        <w:rPr>
          <w:rFonts w:ascii="Miriam" w:hAnsi="Miriam" w:cs="Miriam"/>
          <w:color w:val="000000"/>
          <w:rtl w:val="true"/>
        </w:rPr>
        <w:t>אין זהה דינה של עבירה חד פעמית למסכת שיטתית של עבירות</w:t>
      </w:r>
      <w:r>
        <w:rPr>
          <w:rFonts w:cs="Miriam" w:ascii="Miriam" w:hAnsi="Miriam"/>
          <w:color w:val="000000"/>
          <w:rtl w:val="true"/>
        </w:rPr>
        <w:t>".</w:t>
      </w:r>
    </w:p>
    <w:p>
      <w:pPr>
        <w:pStyle w:val="Normal"/>
        <w:spacing w:lineRule="atLeast" w:line="360"/>
        <w:ind w:hanging="720" w:start="1417" w:end="851"/>
        <w:jc w:val="both"/>
        <w:rPr>
          <w:rFonts w:ascii="Miriam" w:hAnsi="Miriam" w:cs="Miriam"/>
          <w:color w:val="000000"/>
        </w:rPr>
      </w:pPr>
      <w:r>
        <w:rPr>
          <w:rFonts w:cs="Miriam" w:ascii="Miriam" w:hAnsi="Miriam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 xml:space="preserve">. </w:t>
      </w:r>
      <w:r>
        <w:rPr>
          <w:rFonts w:cs="David" w:ascii="David" w:hAnsi="David"/>
          <w:b/>
          <w:bCs/>
          <w:color w:val="000000"/>
          <w:sz w:val="27"/>
          <w:szCs w:val="27"/>
          <w:rtl w:val="true"/>
        </w:rPr>
        <w:tab/>
      </w:r>
      <w:r>
        <w:rPr>
          <w:rFonts w:ascii="Miriam" w:hAnsi="Miriam" w:cs="Miriam"/>
          <w:color w:val="000000"/>
          <w:rtl w:val="true"/>
        </w:rPr>
        <w:t>ומהתם להכא</w:t>
      </w:r>
      <w:r>
        <w:rPr>
          <w:rFonts w:cs="David" w:ascii="David" w:hAnsi="David"/>
          <w:b/>
          <w:bCs/>
          <w:color w:val="000000"/>
          <w:sz w:val="27"/>
          <w:szCs w:val="27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הפיצה</w:t>
      </w:r>
      <w:r>
        <w:rPr>
          <w:rtl w:val="true"/>
        </w:rPr>
        <w:t>-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 xml:space="preserve">. </w:t>
        <w:tab/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-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חומרת עבירת השוד בנסיבות מחמירות לצידה קבוע עונש מרבי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ולעניין החשיבות בהטלת ענישה מחמירה ומרתיעה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יפים דבריו הבאים של בית המשפט העליון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1178/14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מיכלאשוילי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23.06.2014</w:t>
      </w:r>
      <w:r>
        <w:rPr>
          <w:rFonts w:cs="David" w:ascii="David" w:hAnsi="David"/>
          <w:rtl w:val="true"/>
        </w:rPr>
        <w:t xml:space="preserve">): </w:t>
      </w:r>
      <w:r>
        <w:rPr>
          <w:rFonts w:cs="Calibri" w:ascii="Calibri" w:hAnsi="Calibri"/>
          <w:rtl w:val="true"/>
        </w:rPr>
        <w:t>"</w:t>
      </w:r>
      <w:r>
        <w:rPr>
          <w:rFonts w:ascii="Miriam" w:hAnsi="Miriam" w:cs="Miriam"/>
          <w:rtl w:val="true"/>
        </w:rPr>
        <w:t>בית משפט זה עמד לא אחת על הצורך להרתיע את אלה המבקשים להיבנות מפרי עמלם של אחרים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תוך שימוש בכוח הזרוע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ולהגן על הציבור מפניהם באמצעות השתת עונשי מאסר משמעותיים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>כאשר בעבירת שוד בנסיבות מחמירות עסקינן נודעת חשיבות רבה לביטוי הסלידה החברתית העמוקה והבהרה כי היא נושאת בצדה עונש מאסר כבד על מנת להרתיע עבריינים בכוח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טמרה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 xml:space="preserve">. </w:t>
        <w:tab/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סובח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tLeast" w:line="360"/>
        <w:ind w:end="851"/>
        <w:jc w:val="both"/>
        <w:rPr/>
      </w:pPr>
      <w:r>
        <w:rPr>
          <w:rtl w:val="true"/>
        </w:rPr>
      </w:r>
    </w:p>
    <w:p>
      <w:pPr>
        <w:pStyle w:val="Normal"/>
        <w:spacing w:lineRule="atLeast" w:line="360"/>
        <w:ind w:start="1440" w:end="851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היא התשתית ו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הגורם בלעדו איין</w:t>
      </w:r>
      <w:r>
        <w:rPr>
          <w:rFonts w:cs="Miriam" w:ascii="Miriam" w:hAnsi="Miriam"/>
          <w:rtl w:val="true"/>
        </w:rPr>
        <w:t>' (</w:t>
      </w:r>
      <w:r>
        <w:rPr>
          <w:rFonts w:cs="Miriam" w:ascii="Miriam" w:hAnsi="Miriam"/>
          <w:bCs/>
        </w:rPr>
        <w:t>causa sine qua non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למגוון רחב של עבירות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החל בעבירות איומים ושוד מזוין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המשך בעבירות גרימת חבלה חמורה וכלה בעבירות המתה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על 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המאבק בתופעות האלימות החמורות בחברה הישראלית בהן נעשה שימוש בנשק מחייב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מעבר למאמץ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לשים יד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על כלי הנשק הבלתי חוקיים הרבים שבידי הציבור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גם ענישה מחמירה ומרתיעה בעבירות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לרבות על עצם החזקה או רכישה שלא כדין של נשק</w:t>
      </w:r>
      <w:r>
        <w:rPr>
          <w:rFonts w:cs="Miriam" w:ascii="Miriam" w:hAnsi="Miriam"/>
          <w:rtl w:val="true"/>
        </w:rPr>
        <w:t xml:space="preserve">. [...] </w:t>
      </w:r>
      <w:r>
        <w:rPr>
          <w:rFonts w:ascii="Miriam" w:hAnsi="Miriam" w:cs="Miriam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בבחינת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ייבוש הביצה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המשמשת ערס לגידולן של תופעות אלה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מהלך כזה מחייב הירתמות גם של בתי המשפט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על ידי ענישה מחמירה ומרתיעה לעבירות נשק בלתי חוקי באשר הן </w:t>
      </w:r>
      <w:r>
        <w:rPr>
          <w:rFonts w:cs="Miriam" w:ascii="Miriam" w:hAnsi="Miriam"/>
          <w:rtl w:val="true"/>
        </w:rPr>
        <w:t>[...]".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80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31034-06-17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 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מסרי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17/4/18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 על נאשם בעל עבר 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 עבירה שעניינה נשיאת נשק מסוג 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 מאולתר ובתוכו מחסנית ובה כדור 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באזור 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לצד רכיבי ענישה של מאסר מותנה וקנס בסך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3451-02-14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עבד אלעאל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23/9/14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4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אלהווה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31/12/14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144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גנאים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30.1.18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נדון עניינו של מערער אשר הורשע בתום שמיעת ראיות בעבירות של קשירת קשר ושוד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בשוד שבוצע ב</w:t>
      </w:r>
      <w:r>
        <w:rPr>
          <w:rFonts w:ascii="David" w:hAnsi="David"/>
          <w:rtl w:val="true"/>
        </w:rPr>
        <w:t>חנות מכולת יחד עם אחר באמצעות כלי הנראה כאקדח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נגזר 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של המערער על חומרת העונש נדחה תוך שבית המשפט </w:t>
      </w:r>
      <w:r>
        <w:rPr>
          <w:rFonts w:ascii="David" w:hAnsi="David"/>
          <w:rtl w:val="true"/>
        </w:rPr>
        <w:t xml:space="preserve">העליון </w:t>
      </w:r>
      <w:r>
        <w:rPr>
          <w:rFonts w:ascii="David" w:hAnsi="David"/>
          <w:rtl w:val="true"/>
        </w:rPr>
        <w:t>ציין כי מדובר בעונש הולם בשים לב לכך שהמערער סירב לגלות את שמו של שותפו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השתמש בכלי הנחזה ככלי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והתסקיר בעניינו לא היה חיובי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tLeast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144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8271/17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אבו גליון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30.1.18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ערעור המדינה על קולת עונש של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</w:t>
      </w:r>
      <w:r>
        <w:rPr>
          <w:rFonts w:ascii="David" w:hAnsi="David"/>
          <w:rtl w:val="true"/>
        </w:rPr>
        <w:t>בפועל שהושת</w:t>
      </w:r>
      <w:r>
        <w:rPr>
          <w:rFonts w:ascii="David" w:hAnsi="David"/>
          <w:rtl w:val="true"/>
        </w:rPr>
        <w:t xml:space="preserve"> על המשיב בגין הרשעתו על יסוד הודאתו בביצוע עבירות של קשירת קשר ושוד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את השוד ביצע המשיב יחד עם אחר שהיה מצויד באקדח שבו הוא ירה באוויר במהלך השוד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העליון </w:t>
      </w:r>
      <w:r>
        <w:rPr>
          <w:rFonts w:ascii="David" w:hAnsi="David"/>
          <w:rtl w:val="true"/>
        </w:rPr>
        <w:t>קיבל 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נוכח עברו הפלילי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עונשו על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במידת חומרה גבוהה </w:t>
      </w:r>
      <w:r>
        <w:rPr>
          <w:rFonts w:ascii="David" w:hAnsi="David"/>
          <w:rtl w:val="true"/>
        </w:rPr>
        <w:t xml:space="preserve"> כתוצאה מביצוע </w:t>
      </w:r>
      <w:r>
        <w:rPr>
          <w:rFonts w:ascii="David" w:hAnsi="David"/>
          <w:rtl w:val="true"/>
        </w:rPr>
        <w:t xml:space="preserve">העבירות בהן הורשע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נתתי את הדעת ל</w:t>
      </w:r>
      <w:r>
        <w:rPr>
          <w:rFonts w:ascii="David" w:hAnsi="David"/>
          <w:rtl w:val="true"/>
        </w:rPr>
        <w:t>נסיבות ביצוע</w:t>
      </w:r>
      <w:r>
        <w:rPr>
          <w:rFonts w:ascii="David" w:hAnsi="David"/>
          <w:rtl w:val="true"/>
        </w:rPr>
        <w:t xml:space="preserve"> העבירות </w:t>
      </w:r>
      <w:r>
        <w:rPr>
          <w:rFonts w:ascii="David" w:hAnsi="David"/>
          <w:rtl w:val="true"/>
        </w:rPr>
        <w:t>ולמדיניות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לעונש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שהושת על האחר שהורשע בביצוע אותן עבירות תוך קביעה לגביו של  מתחם עונש הולם הנע בין </w:t>
      </w:r>
      <w:r>
        <w:rPr>
          <w:rFonts w:cs="David" w:ascii="David" w:hAnsi="David"/>
        </w:rPr>
        <w:t>60-30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</w:t>
      </w:r>
      <w:r>
        <w:rPr>
          <w:rFonts w:ascii="David" w:hAnsi="David"/>
          <w:rtl w:val="true"/>
        </w:rPr>
        <w:t xml:space="preserve">קובעת לגבי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עונש הולם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כפי שנקבע בעניינו של האחר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10-2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24/8/20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27/12/20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9/8/20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10/6/21</w:t>
      </w:r>
      <w:r>
        <w:rPr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10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 חשוון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אוקטובר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אבי אור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זך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bookmarkEnd w:id="10"/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ד יוסף סולימאן והנאשמים בעצמם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3002-09-20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22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48"/>
      <w:numFmt w:val="bullet"/>
      <w:lvlText w:val=""/>
      <w:lvlJc w:val="end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40a.b.1." TargetMode="External"/><Relationship Id="rId12" Type="http://schemas.openxmlformats.org/officeDocument/2006/relationships/hyperlink" Target="http://www.nevo.co.il/law/70301/340a.b.2.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0a.b.1.;340a.b.2.;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7773349" TargetMode="External"/><Relationship Id="rId31" Type="http://schemas.openxmlformats.org/officeDocument/2006/relationships/hyperlink" Target="http://www.nevo.co.il/case/11328863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2733878" TargetMode="External"/><Relationship Id="rId34" Type="http://schemas.openxmlformats.org/officeDocument/2006/relationships/hyperlink" Target="http://www.nevo.co.il/case/11289545" TargetMode="External"/><Relationship Id="rId35" Type="http://schemas.openxmlformats.org/officeDocument/2006/relationships/hyperlink" Target="http://www.nevo.co.il/case/13042005" TargetMode="External"/><Relationship Id="rId36" Type="http://schemas.openxmlformats.org/officeDocument/2006/relationships/hyperlink" Target="http://www.nevo.co.il/case/25383209" TargetMode="External"/><Relationship Id="rId37" Type="http://schemas.openxmlformats.org/officeDocument/2006/relationships/hyperlink" Target="http://www.nevo.co.il/case/23398495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2022-11-20T12:25:00Z</dcterms:created>
  <dc:creator> </dc:creator>
  <dc:description/>
  <cp:keywords/>
  <dc:language>en-IL</dc:language>
  <cp:lastModifiedBy>h1</cp:lastModifiedBy>
  <dcterms:modified xsi:type="dcterms:W3CDTF">2022-11-20T12:25:00Z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חג'אזי;מוסטפא חג'אזי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6243627;7773349;11328863;25824863;22733878;11289545;13042005;25383209;23398495</vt:lpwstr>
  </property>
  <property fmtid="{D5CDD505-2E9C-101B-9397-08002B2CF9AE}" pid="9" name="CITY">
    <vt:lpwstr>חי'</vt:lpwstr>
  </property>
  <property fmtid="{D5CDD505-2E9C-101B-9397-08002B2CF9AE}" pid="10" name="DATE">
    <vt:lpwstr>20211017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70301/402.b:2;029:2;340a.b.1;340a.b.2;144.a;144.b;031;040b;040c;040i;144:4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3002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390020211017</vt:lpwstr>
  </property>
  <property fmtid="{D5CDD505-2E9C-101B-9397-08002B2CF9AE}" pid="34" name="TYPE_N_DATE">
    <vt:lpwstr>39020211017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