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3013-04-18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מרעאנה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מרעאנה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</w:t>
      </w:r>
      <w:bookmarkStart w:id="3" w:name="LawTable"/>
      <w:bookmarkEnd w:id="3"/>
      <w:r>
        <w:rPr>
          <w:rtl w:val="true"/>
        </w:rPr>
        <w:t>ג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  <w:bookmarkStart w:id="7" w:name="ABSTRACT_START"/>
      <w:bookmarkEnd w:id="7"/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14.3.18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סולטאן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הגיס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ולהחביאם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והגיס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אוטומטי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M-5000 GAL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מכדורים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והטמין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בפורדיס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20.3.18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התגרש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מאורס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נחשף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למציאות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להשלכותיה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שנטל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להתמכרויות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שתוצאת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קנאביס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משרידי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המטפלת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דווחה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מכחיש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היומיומית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להפריד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    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המקסימלי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שהימצאותו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סקי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טהורות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כשאנו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וגוברת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לקורבנות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לנתונים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הסטטיסטיים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49160-11-15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אפריל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ובגילוי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הנהוגה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היוזם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בצרוף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הפללתו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בצירוף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שהשותף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בניגוד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התפרקה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החתונה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מחלוקת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בשאלת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יוזם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העתידיים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זניח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המסוכנות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מוגבלת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מגבילים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נרשמה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מתיישב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דורנר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מהמלצותיה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תורמים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שבפנינו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התגרש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5.6.13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964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וזמינותו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המדאיגה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בקטטה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בהדרגה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האינדיבידואלי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שבמלאכת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ראה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3300/06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סנינה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10.8.06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991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לטעמי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".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יוזם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בהתממשותה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ההשפעה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בהסכמתו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ליכולת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בשגגה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מקבלים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הוחזקו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מוחשי</w:t>
      </w:r>
      <w:r>
        <w:rPr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שקבע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לידאוי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</w:rPr>
        <w:t>4.11.14</w:t>
      </w:r>
      <w:r>
        <w:rPr>
          <w:color w:val="000000"/>
          <w:rtl w:val="true"/>
        </w:rPr>
        <w:t xml:space="preserve">];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דאחל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</w:rPr>
        <w:t>29.4.04</w:t>
      </w:r>
      <w:r>
        <w:rPr>
          <w:color w:val="000000"/>
          <w:rtl w:val="true"/>
        </w:rPr>
        <w:t>]</w:t>
      </w:r>
      <w:r>
        <w:rPr>
          <w:rFonts w:cs="David" w:ascii="David" w:hAnsi="David"/>
          <w:color w:val="000000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10376/05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ברהום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17.5.06</w:t>
      </w:r>
      <w:r>
        <w:rPr>
          <w:rFonts w:cs="David" w:ascii="David" w:hAnsi="David"/>
          <w:color w:val="000000"/>
          <w:rtl w:val="true"/>
        </w:rPr>
        <w:t xml:space="preserve">]).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color w:val="000000"/>
          <w:rtl w:val="true"/>
        </w:rPr>
        <w:t>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כתוארה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דראז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13.3.16</w:t>
      </w:r>
      <w:r>
        <w:rPr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4" w:end="709"/>
        <w:jc w:val="both"/>
        <w:rPr>
          <w:rFonts w:ascii="David" w:hAnsi="David" w:cs="David"/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ונעדרי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79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sz w:val="26"/>
        </w:rPr>
      </w:pPr>
      <w:r>
        <w:rPr>
          <w:rFonts w:ascii="David" w:hAnsi="David"/>
          <w:sz w:val="26"/>
          <w:sz w:val="26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u w:val="single"/>
          </w:rPr>
          <w:t>6294/10</w:t>
        </w:r>
      </w:hyperlink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אלקיעאן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נ</w:t>
      </w:r>
      <w:r>
        <w:rPr>
          <w:rFonts w:cs="David" w:ascii="David" w:hAnsi="David"/>
          <w:b/>
          <w:bCs/>
          <w:sz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rtl w:val="true"/>
        </w:rPr>
        <w:t>מדינת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ישראל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cs="David" w:ascii="David" w:hAnsi="David"/>
          <w:sz w:val="26"/>
          <w:rtl w:val="true"/>
        </w:rPr>
        <w:t>(</w:t>
      </w:r>
      <w:r>
        <w:rPr>
          <w:rFonts w:cs="David" w:ascii="David" w:hAnsi="David"/>
          <w:sz w:val="26"/>
        </w:rPr>
        <w:t>13.2.11</w:t>
      </w:r>
      <w:r>
        <w:rPr>
          <w:rFonts w:cs="David" w:ascii="David" w:hAnsi="David"/>
          <w:sz w:val="26"/>
          <w:rtl w:val="true"/>
        </w:rPr>
        <w:t xml:space="preserve">), </w:t>
      </w:r>
      <w:r>
        <w:rPr>
          <w:rFonts w:ascii="David" w:hAnsi="David"/>
          <w:sz w:val="26"/>
          <w:sz w:val="26"/>
          <w:rtl w:val="true"/>
        </w:rPr>
        <w:t>נדחה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ערעורם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הנאשמים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אשר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הורשעו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פי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הודאתם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בביצוע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עבירה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החזקת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נשק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ותחמושת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שלא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כדין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הנאשמים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נתפסו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כאשר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כל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אחד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מהם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החזיק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באקדח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טעון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ומחסנית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וכן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cs="David" w:ascii="David" w:hAnsi="David"/>
          <w:sz w:val="26"/>
        </w:rPr>
        <w:t>2</w:t>
      </w:r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החזיק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בכיס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מעילו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מחסנית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נוספת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כל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אחד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מהנאשמים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נדון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ל</w:t>
      </w:r>
      <w:r>
        <w:rPr>
          <w:rFonts w:cs="David" w:ascii="David" w:hAnsi="David"/>
          <w:sz w:val="26"/>
          <w:rtl w:val="true"/>
        </w:rPr>
        <w:t xml:space="preserve">- </w:t>
      </w:r>
      <w:r>
        <w:rPr>
          <w:rFonts w:cs="David" w:ascii="David" w:hAnsi="David"/>
          <w:b/>
          <w:bCs/>
          <w:sz w:val="26"/>
        </w:rPr>
        <w:t>10</w:t>
      </w:r>
      <w:r>
        <w:rPr>
          <w:rFonts w:cs="David" w:ascii="David" w:hAnsi="David"/>
          <w:b/>
          <w:bCs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חודשי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מאסר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בפועל</w:t>
      </w:r>
      <w:r>
        <w:rPr>
          <w:rFonts w:cs="David" w:ascii="David" w:hAnsi="David"/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sz w:val="26"/>
        </w:rPr>
      </w:pPr>
      <w:r>
        <w:rPr>
          <w:rFonts w:ascii="David" w:hAnsi="David"/>
          <w:sz w:val="26"/>
          <w:sz w:val="26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u w:val="single"/>
          </w:rPr>
          <w:t>2281/15</w:t>
        </w:r>
      </w:hyperlink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חדיג</w:t>
      </w:r>
      <w:r>
        <w:rPr>
          <w:rFonts w:cs="David" w:ascii="David" w:hAnsi="David"/>
          <w:b/>
          <w:bCs/>
          <w:sz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rtl w:val="true"/>
        </w:rPr>
        <w:t>ה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נ</w:t>
      </w:r>
      <w:r>
        <w:rPr>
          <w:rFonts w:cs="David" w:ascii="David" w:hAnsi="David"/>
          <w:b/>
          <w:bCs/>
          <w:sz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rtl w:val="true"/>
        </w:rPr>
        <w:t>מדינת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ישראל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cs="David" w:ascii="David" w:hAnsi="David"/>
          <w:sz w:val="26"/>
          <w:rtl w:val="true"/>
        </w:rPr>
        <w:t>(</w:t>
      </w:r>
      <w:r>
        <w:rPr>
          <w:rFonts w:cs="David" w:ascii="David" w:hAnsi="David"/>
          <w:sz w:val="26"/>
        </w:rPr>
        <w:t>27.4.15</w:t>
      </w:r>
      <w:r>
        <w:rPr>
          <w:rFonts w:cs="David" w:ascii="David" w:hAnsi="David"/>
          <w:sz w:val="26"/>
          <w:rtl w:val="true"/>
        </w:rPr>
        <w:t xml:space="preserve">), </w:t>
      </w:r>
      <w:r>
        <w:rPr>
          <w:rFonts w:ascii="David" w:hAnsi="David"/>
          <w:sz w:val="26"/>
          <w:sz w:val="26"/>
          <w:rtl w:val="true"/>
        </w:rPr>
        <w:t>נדחתה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בקשת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רשות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ערעור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אשר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הורשע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לאחר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שמיעת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ראיות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בעבירה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החזקת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נשק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בחיפוש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בחצרו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נתפס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אקדח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שתי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מחסניות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וכדורים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וכן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נתפס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בביתו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סמן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לייזר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בית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משפט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השלום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גזר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cs="David" w:ascii="David" w:hAnsi="David"/>
          <w:sz w:val="26"/>
        </w:rPr>
        <w:t>6</w:t>
      </w:r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חודשי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עבודות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שירות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בית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המשפט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המחוזי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החמיר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בעונשו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לעונש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</w:rPr>
        <w:t>10</w:t>
      </w:r>
      <w:r>
        <w:rPr>
          <w:rFonts w:cs="David" w:ascii="David" w:hAnsi="David"/>
          <w:b/>
          <w:bCs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חודשי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מאסר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בפועל</w:t>
      </w:r>
      <w:r>
        <w:rPr>
          <w:rFonts w:cs="David" w:ascii="David" w:hAnsi="David"/>
          <w:b/>
          <w:bCs/>
          <w:sz w:val="26"/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sz w:val="26"/>
        </w:rPr>
      </w:pPr>
      <w:r>
        <w:rPr>
          <w:rFonts w:ascii="David" w:hAnsi="David"/>
          <w:sz w:val="26"/>
          <w:sz w:val="26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u w:val="single"/>
          </w:rPr>
          <w:t>1246/17</w:t>
        </w:r>
      </w:hyperlink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מטר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נ</w:t>
      </w:r>
      <w:r>
        <w:rPr>
          <w:rFonts w:cs="David" w:ascii="David" w:hAnsi="David"/>
          <w:b/>
          <w:bCs/>
          <w:sz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rtl w:val="true"/>
        </w:rPr>
        <w:t>מדינת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ישראל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cs="David" w:ascii="David" w:hAnsi="David"/>
          <w:sz w:val="26"/>
          <w:rtl w:val="true"/>
        </w:rPr>
        <w:t>(</w:t>
      </w:r>
      <w:r>
        <w:rPr>
          <w:rFonts w:cs="David" w:ascii="David" w:hAnsi="David"/>
          <w:sz w:val="26"/>
        </w:rPr>
        <w:t>12.3.17</w:t>
      </w:r>
      <w:r>
        <w:rPr>
          <w:rFonts w:cs="David" w:ascii="David" w:hAnsi="David"/>
          <w:sz w:val="26"/>
          <w:rtl w:val="true"/>
        </w:rPr>
        <w:t xml:space="preserve">), </w:t>
      </w:r>
      <w:r>
        <w:rPr>
          <w:rFonts w:ascii="David" w:hAnsi="David"/>
          <w:sz w:val="26"/>
          <w:sz w:val="26"/>
          <w:rtl w:val="true"/>
        </w:rPr>
        <w:t>דחה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בית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המשפט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העליון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בקשת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רשות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ערעור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אשר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הורשע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פי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הודאתו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בעבירה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החזקת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נשק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ותחמושת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הנאשם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רכש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והחזיק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באקדח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ושתי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מחסניות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וכדורים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והחזיקם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בביתו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נעדר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עבר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פלילי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שהוגש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תסקיר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חיובי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שירות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המבחן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בית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משפט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השלום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גזר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הנאשם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cs="David" w:ascii="David" w:hAnsi="David"/>
          <w:sz w:val="26"/>
        </w:rPr>
        <w:t>6</w:t>
      </w:r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חודשי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עבודות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שירות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בית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המשפט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המחוזי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קבע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כי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הרף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התחתון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המתחם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צריך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לעמוד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cs="David" w:ascii="David" w:hAnsi="David"/>
          <w:sz w:val="26"/>
        </w:rPr>
        <w:t>9</w:t>
      </w:r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חודשי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מאסר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והחמיר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בעונשו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לעונש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</w:rPr>
        <w:t>9</w:t>
      </w:r>
      <w:r>
        <w:rPr>
          <w:rFonts w:cs="David" w:ascii="David" w:hAnsi="David"/>
          <w:b/>
          <w:bCs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חודשי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מאסר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בפועל</w:t>
      </w:r>
      <w:r>
        <w:rPr>
          <w:rFonts w:cs="David" w:ascii="David" w:hAnsi="David"/>
          <w:sz w:val="26"/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נוסיראת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22.6.16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ותחמושת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חיובי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והעמיד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דאחל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29.03.04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עטופים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בגרב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אדהאם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5.12.06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הפוטנציאלי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לחברה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דראז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13.3.16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גנוב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לחמוק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שחיפשו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20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עוואודה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30.12.09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ותחמושת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מאחורי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סורג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ובריח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לידאוי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4.11.14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כגנוב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כגנוב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בודד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בטחונו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שירוצו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בעבודות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ככלל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ראוי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שירוצו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מאחורי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סורג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ובריח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שוכנעתי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יצדיקו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העשרים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ותקין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בתחבולה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זיהוי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הסדרתם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אכיפת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בגרסתו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בעקבות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בטיפול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אחידות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יוזם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הגיס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מדינה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אזור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1.4.19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תינתן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20.3.18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יתייצב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לריצוי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1.5.19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תעודת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הכניסה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האפשרות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ענף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אבחון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3013-04-18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מרעאנה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Times New Roman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  <w:b w:val="false"/>
      <w:bCs w:val="false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745111" TargetMode="External"/><Relationship Id="rId10" Type="http://schemas.openxmlformats.org/officeDocument/2006/relationships/hyperlink" Target="http://www.nevo.co.il/case/6473037" TargetMode="External"/><Relationship Id="rId11" Type="http://schemas.openxmlformats.org/officeDocument/2006/relationships/hyperlink" Target="http://www.nevo.co.il/case/5887664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case/13015506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6169310" TargetMode="External"/><Relationship Id="rId16" Type="http://schemas.openxmlformats.org/officeDocument/2006/relationships/hyperlink" Target="http://www.nevo.co.il/case/20817891" TargetMode="External"/><Relationship Id="rId17" Type="http://schemas.openxmlformats.org/officeDocument/2006/relationships/hyperlink" Target="http://www.nevo.co.il/case/16913730" TargetMode="External"/><Relationship Id="rId18" Type="http://schemas.openxmlformats.org/officeDocument/2006/relationships/hyperlink" Target="http://www.nevo.co.il/case/20531134" TargetMode="External"/><Relationship Id="rId19" Type="http://schemas.openxmlformats.org/officeDocument/2006/relationships/hyperlink" Target="http://www.nevo.co.il/case/6024035" TargetMode="External"/><Relationship Id="rId20" Type="http://schemas.openxmlformats.org/officeDocument/2006/relationships/hyperlink" Target="http://www.nevo.co.il/case/6058757" TargetMode="External"/><Relationship Id="rId21" Type="http://schemas.openxmlformats.org/officeDocument/2006/relationships/hyperlink" Target="http://www.nevo.co.il/case/20151405" TargetMode="External"/><Relationship Id="rId22" Type="http://schemas.openxmlformats.org/officeDocument/2006/relationships/hyperlink" Target="http://www.nevo.co.il/case/22228298" TargetMode="External"/><Relationship Id="rId23" Type="http://schemas.openxmlformats.org/officeDocument/2006/relationships/hyperlink" Target="http://www.nevo.co.il/case/21475135" TargetMode="External"/><Relationship Id="rId24" Type="http://schemas.openxmlformats.org/officeDocument/2006/relationships/hyperlink" Target="http://www.nevo.co.il/case/5852404" TargetMode="External"/><Relationship Id="rId25" Type="http://schemas.openxmlformats.org/officeDocument/2006/relationships/hyperlink" Target="http://www.nevo.co.il/case/6072945" TargetMode="External"/><Relationship Id="rId26" Type="http://schemas.openxmlformats.org/officeDocument/2006/relationships/hyperlink" Target="http://www.nevo.co.il/case/20817891" TargetMode="External"/><Relationship Id="rId27" Type="http://schemas.openxmlformats.org/officeDocument/2006/relationships/hyperlink" Target="http://www.nevo.co.il/case/6000182" TargetMode="External"/><Relationship Id="rId28" Type="http://schemas.openxmlformats.org/officeDocument/2006/relationships/hyperlink" Target="http://www.nevo.co.il/case/13015506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c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2019-03-18T13:02:00Z</dcterms:created>
  <dc:creator> </dc:creator>
  <dc:description/>
  <cp:keywords/>
  <dc:language>en-IL</dc:language>
  <cp:lastModifiedBy>h10</cp:lastModifiedBy>
  <dcterms:modified xsi:type="dcterms:W3CDTF">2019-03-18T13:02:00Z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מרעאנה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20745111;6473037;5887664;13015506:2;5852404:2;6169310;20817891:2;16913730;20531134;6024035;6058757;20151405;22228298;21475135;6072945;6000182</vt:lpwstr>
  </property>
  <property fmtid="{D5CDD505-2E9C-101B-9397-08002B2CF9AE}" pid="9" name="CITY">
    <vt:lpwstr>מרכז</vt:lpwstr>
  </property>
  <property fmtid="{D5CDD505-2E9C-101B-9397-08002B2CF9AE}" pid="10" name="DATE">
    <vt:lpwstr>20190312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70301/144.a;040i;40jc;40ja</vt:lpwstr>
  </property>
  <property fmtid="{D5CDD505-2E9C-101B-9397-08002B2CF9AE}" pid="15" name="LAWYER">
    <vt:lpwstr>ליטל שירי;רועי לנג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3013</vt:lpwstr>
  </property>
  <property fmtid="{D5CDD505-2E9C-101B-9397-08002B2CF9AE}" pid="22" name="NEWPARTB">
    <vt:lpwstr>04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390020190312</vt:lpwstr>
  </property>
  <property fmtid="{D5CDD505-2E9C-101B-9397-08002B2CF9AE}" pid="34" name="TYPE_N_DATE">
    <vt:lpwstr>39020190312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