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3014-08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פרדה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דורית רייך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9"/>
        <w:gridCol w:w="5375"/>
      </w:tblGrid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5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דמלוו דרור פרדה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שירות המבחן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b/>
          <w:b/>
          <w:bCs/>
          <w:sz w:val="26"/>
          <w:sz w:val="26"/>
          <w:szCs w:val="26"/>
          <w:rtl w:val="true"/>
        </w:rPr>
        <w:t xml:space="preserve"> אין הופעה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</w:t>
      </w:r>
      <w:r>
        <w:rPr>
          <w:b w:val="false"/>
          <w:b w:val="false"/>
          <w:bCs w:val="false"/>
          <w:u w:val="none"/>
          <w:rtl w:val="true"/>
        </w:rPr>
        <w:t>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לילך מאיר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וולף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המאשימה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vanish/>
          <w:highlight w:val="yellow"/>
          <w:u w:val="none"/>
          <w:rtl w:val="true"/>
        </w:rPr>
        <w:t>&lt;&gt;&lt;</w:t>
      </w:r>
      <w:r>
        <w:rPr>
          <w:b w:val="false"/>
          <w:b w:val="false"/>
          <w:bCs w:val="false"/>
          <w:u w:val="none"/>
          <w:rtl w:val="true"/>
        </w:rPr>
        <w:t>דורית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רובין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,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1975</w:t>
      </w:r>
      <w:r>
        <w:rPr>
          <w:rtl w:val="true"/>
        </w:rPr>
        <w:t xml:space="preserve"> </w:t>
      </w:r>
      <w:r>
        <w:rPr>
          <w:rtl w:val="true"/>
        </w:rPr>
        <w:t xml:space="preserve">הורשע על פי הודאתו ובמסגרת הסדר טיעון שבתאריך </w:t>
      </w:r>
      <w:r>
        <w:rPr/>
        <w:t>22.8.05</w:t>
      </w:r>
      <w:r>
        <w:rPr>
          <w:rtl w:val="true"/>
        </w:rPr>
        <w:t xml:space="preserve">  </w:t>
      </w:r>
      <w:r>
        <w:rPr>
          <w:rtl w:val="true"/>
        </w:rPr>
        <w:t>פירסם מודעה באינטרנט</w:t>
      </w:r>
      <w:r>
        <w:rPr>
          <w:rtl w:val="true"/>
        </w:rPr>
        <w:t xml:space="preserve">, </w:t>
      </w:r>
      <w:r>
        <w:rPr>
          <w:rtl w:val="true"/>
        </w:rPr>
        <w:t xml:space="preserve">באתר מכירות </w:t>
      </w:r>
      <w:r>
        <w:rPr>
          <w:rtl w:val="true"/>
        </w:rPr>
        <w:t>"</w:t>
      </w:r>
      <w:r>
        <w:rPr>
          <w:rtl w:val="true"/>
        </w:rPr>
        <w:t xml:space="preserve">יד </w:t>
      </w:r>
      <w:r>
        <w:rPr/>
        <w:t>2</w:t>
      </w:r>
      <w:r>
        <w:rPr>
          <w:rtl w:val="true"/>
        </w:rPr>
        <w:t xml:space="preserve">", </w:t>
      </w:r>
      <w:r>
        <w:rPr>
          <w:rtl w:val="true"/>
        </w:rPr>
        <w:t>לפיה הוא מעוניין לרכוש אקדח ללא רישיון ואכן סוכן משטרתי הציע לו את מבוקשו</w:t>
      </w:r>
      <w:r>
        <w:rPr>
          <w:rtl w:val="true"/>
        </w:rPr>
        <w:t xml:space="preserve">. </w:t>
      </w:r>
      <w:r>
        <w:rPr>
          <w:rtl w:val="true"/>
        </w:rPr>
        <w:t>הנאשם הורשע בניסיון להחזיק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+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להסדר</w:t>
      </w:r>
      <w:r>
        <w:rPr>
          <w:rtl w:val="true"/>
        </w:rPr>
        <w:t xml:space="preserve">, </w:t>
      </w:r>
      <w:r>
        <w:rPr>
          <w:rtl w:val="true"/>
        </w:rPr>
        <w:t>בטרם טיעונים לעונש המליצו בפני ב</w:t>
      </w:r>
      <w:r>
        <w:rPr>
          <w:rtl w:val="true"/>
        </w:rPr>
        <w:t>"</w:t>
      </w:r>
      <w:r>
        <w:rPr>
          <w:rtl w:val="true"/>
        </w:rPr>
        <w:t>כ הצדדים להזמין תסקיר משירות המבחן</w:t>
      </w:r>
      <w:r>
        <w:rPr>
          <w:rtl w:val="true"/>
        </w:rPr>
        <w:t xml:space="preserve">. </w:t>
      </w:r>
      <w:r>
        <w:rPr>
          <w:rtl w:val="true"/>
        </w:rPr>
        <w:t>כשנציג פמת</w:t>
      </w:r>
      <w:r>
        <w:rPr>
          <w:rtl w:val="true"/>
        </w:rPr>
        <w:t>"</w:t>
      </w:r>
      <w:r>
        <w:rPr>
          <w:rtl w:val="true"/>
        </w:rPr>
        <w:t>א מצהיר שבמידה והתסקיר יהיה חיובי</w:t>
      </w:r>
      <w:r>
        <w:rPr>
          <w:rtl w:val="true"/>
        </w:rPr>
        <w:t xml:space="preserve">, </w:t>
      </w:r>
      <w:r>
        <w:rPr>
          <w:rtl w:val="true"/>
        </w:rPr>
        <w:t>המדינה תמליץ בפני ביהמ</w:t>
      </w:r>
      <w:r>
        <w:rPr>
          <w:rtl w:val="true"/>
        </w:rPr>
        <w:t>"</w:t>
      </w:r>
      <w:r>
        <w:rPr>
          <w:rtl w:val="true"/>
        </w:rPr>
        <w:t>ש להסתפק במאסר מותנה וקנס</w:t>
      </w:r>
      <w:r>
        <w:rPr>
          <w:rtl w:val="true"/>
        </w:rPr>
        <w:t xml:space="preserve">. </w:t>
      </w:r>
      <w:r>
        <w:rPr>
          <w:rtl w:val="true"/>
        </w:rPr>
        <w:t>ההנמקות מפורטות בפרוטוקול ואין צורך לחזור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 אכן נמצא חיובי ומתאר סיפור עלייה וקליטה של הנאשם והוריו</w:t>
      </w:r>
      <w:r>
        <w:rPr>
          <w:rtl w:val="true"/>
        </w:rPr>
        <w:t xml:space="preserve">, </w:t>
      </w:r>
      <w:r>
        <w:rPr>
          <w:rtl w:val="true"/>
        </w:rPr>
        <w:t>וחרף הקשיים הנאשם לא הסתבך בפליליים</w:t>
      </w:r>
      <w:r>
        <w:rPr>
          <w:rtl w:val="true"/>
        </w:rPr>
        <w:t xml:space="preserve">, </w:t>
      </w:r>
      <w:r>
        <w:rPr>
          <w:rtl w:val="true"/>
        </w:rPr>
        <w:t>הצליח להגיע לרמה סבירה</w:t>
      </w:r>
      <w:r>
        <w:rPr>
          <w:rtl w:val="true"/>
        </w:rPr>
        <w:t xml:space="preserve">, </w:t>
      </w:r>
      <w:r>
        <w:rPr>
          <w:rtl w:val="true"/>
        </w:rPr>
        <w:t>כולל נהיגה במכונית</w:t>
      </w:r>
      <w:r>
        <w:rPr>
          <w:rtl w:val="true"/>
        </w:rPr>
        <w:t xml:space="preserve">, </w:t>
      </w:r>
      <w:r>
        <w:rPr>
          <w:rtl w:val="true"/>
        </w:rPr>
        <w:t>הפעלת אינטרנט 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נשא אישה וכיום הוא 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 קטנים</w:t>
      </w:r>
      <w:r>
        <w:rPr>
          <w:rtl w:val="true"/>
        </w:rPr>
        <w:t xml:space="preserve">. </w:t>
      </w:r>
      <w:r>
        <w:rPr>
          <w:rtl w:val="true"/>
        </w:rPr>
        <w:t>שירות המבחן מציין את מאמציו של הנאשם לתפקד לאורך השנים ברמה תעסוקתית ומסביר את הרקע שהביא אותו לבצע את העבירה נשוא הרשעתו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 לכך ביקשו ב</w:t>
      </w:r>
      <w:r>
        <w:rPr>
          <w:rtl w:val="true"/>
        </w:rPr>
        <w:t>"</w:t>
      </w:r>
      <w:r>
        <w:rPr>
          <w:rtl w:val="true"/>
        </w:rPr>
        <w:t>כ הצדדים לכבד את ההסדר</w:t>
      </w:r>
      <w:r>
        <w:rPr>
          <w:rtl w:val="true"/>
        </w:rPr>
        <w:t xml:space="preserve">, </w:t>
      </w:r>
      <w:r>
        <w:rPr>
          <w:rtl w:val="true"/>
        </w:rPr>
        <w:t>ההנמקות בפרוטוקול</w:t>
      </w:r>
      <w:r>
        <w:rPr>
          <w:rtl w:val="true"/>
        </w:rPr>
        <w:t xml:space="preserve">, </w:t>
      </w:r>
      <w:r>
        <w:rPr>
          <w:rtl w:val="true"/>
        </w:rPr>
        <w:t>כאשר הסנגורית מבקשת שלא להחמיר בקנס בהתחשב במצבו הכלכלי הקשה מאוד של הנאשם</w:t>
      </w:r>
      <w:r>
        <w:rPr>
          <w:rtl w:val="true"/>
        </w:rPr>
        <w:t xml:space="preserve">, </w:t>
      </w:r>
      <w:r>
        <w:rPr>
          <w:rtl w:val="true"/>
        </w:rPr>
        <w:t>כעולה ממסמכים שהגישה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נוהגים בתי המשפט לכבד הסדר 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במידה והוא סביר והגיוני ויש בו לאזן כראוי בין האינטרס הציבורי שהתביעה מייצגת לבין טובת ההנאה שניתנה לנאשם</w:t>
      </w:r>
      <w:r>
        <w:rPr>
          <w:rtl w:val="true"/>
        </w:rPr>
        <w:t xml:space="preserve">. </w:t>
      </w:r>
      <w:r>
        <w:rPr>
          <w:rtl w:val="true"/>
        </w:rPr>
        <w:t>בהתקיים איזון כזה</w:t>
      </w:r>
      <w:r>
        <w:rPr>
          <w:rtl w:val="true"/>
        </w:rPr>
        <w:t xml:space="preserve">, </w:t>
      </w:r>
      <w:r>
        <w:rPr>
          <w:rtl w:val="true"/>
        </w:rPr>
        <w:t>בית המשפט יכבד את הסדר הטיעון</w:t>
      </w:r>
      <w:r>
        <w:rPr>
          <w:rtl w:val="true"/>
        </w:rPr>
        <w:t xml:space="preserve">,  </w:t>
      </w:r>
      <w:r>
        <w:rPr>
          <w:rtl w:val="true"/>
        </w:rPr>
        <w:t>בהתאם להלכה שיצאה מלפני בית המשפט העליון</w:t>
      </w:r>
      <w:r>
        <w:rPr>
          <w:rtl w:val="true"/>
        </w:rPr>
        <w:t xml:space="preserve">, </w:t>
      </w:r>
      <w:r>
        <w:rPr>
          <w:rtl w:val="true"/>
        </w:rPr>
        <w:t>בהרכב תשעה שופטים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1958/98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פלוני 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 נז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577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590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במקרה שבפני </w:t>
      </w:r>
      <w:r>
        <w:rPr>
          <w:rtl w:val="true"/>
        </w:rPr>
        <w:t xml:space="preserve">, </w:t>
      </w:r>
      <w:r>
        <w:rPr>
          <w:rtl w:val="true"/>
        </w:rPr>
        <w:t>חרף חומרת העבירה שבהחזקת נשק שלא כדין</w:t>
      </w:r>
      <w:r>
        <w:rPr>
          <w:rtl w:val="true"/>
        </w:rPr>
        <w:t xml:space="preserve">, </w:t>
      </w:r>
      <w:r>
        <w:rPr>
          <w:rtl w:val="true"/>
        </w:rPr>
        <w:t>מקובלת עלי גישתה של הסנגורית שאין המדובר בעבריין אשר ממניע פלילי חיפש להשיג נשק על מנת להשתמש בו שלא כדין</w:t>
      </w:r>
      <w:r>
        <w:rPr>
          <w:rtl w:val="true"/>
        </w:rPr>
        <w:t xml:space="preserve">, </w:t>
      </w:r>
      <w:r>
        <w:rPr>
          <w:rtl w:val="true"/>
        </w:rPr>
        <w:t>כי ממניעים אישיים ותעסוקתיים אחרים המפורטים בתסקיר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ההסדר סביר ומאוזן ואני מאמצת אותו וגוזרת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שנתיים לא יעבור הנאשם עבירה בסעיף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150</w:t>
      </w:r>
      <w:r>
        <w:rPr>
          <w:rtl w:val="true"/>
        </w:rPr>
        <w:t xml:space="preserve"> ₪ </w:t>
      </w:r>
      <w:r>
        <w:rPr>
          <w:rtl w:val="true"/>
        </w:rPr>
        <w:t xml:space="preserve">שישולם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במידה ובתיק ביהמ</w:t>
      </w:r>
      <w:r>
        <w:rPr>
          <w:rtl w:val="true"/>
        </w:rPr>
        <w:t>"</w:t>
      </w:r>
      <w:r>
        <w:rPr>
          <w:rtl w:val="true"/>
        </w:rPr>
        <w:t xml:space="preserve">ש או בתיק המעצרים </w:t>
      </w:r>
      <w:r>
        <w:rPr>
          <w:rtl w:val="true"/>
        </w:rPr>
        <w:t>(</w:t>
      </w:r>
      <w:r>
        <w:rPr>
          <w:rtl w:val="true"/>
        </w:rPr>
        <w:t xml:space="preserve">מ </w:t>
      </w:r>
      <w:r>
        <w:rPr/>
        <w:t>13553/05</w:t>
      </w:r>
      <w:r>
        <w:rPr>
          <w:rtl w:val="true"/>
        </w:rPr>
        <w:t xml:space="preserve">) </w:t>
      </w:r>
      <w:r>
        <w:rPr>
          <w:rtl w:val="true"/>
        </w:rPr>
        <w:t>מופקד פקדון לזכות הנאשם</w:t>
      </w:r>
      <w:r>
        <w:rPr>
          <w:rtl w:val="true"/>
        </w:rPr>
        <w:t xml:space="preserve">, </w:t>
      </w:r>
      <w:r>
        <w:rPr>
          <w:rtl w:val="true"/>
        </w:rPr>
        <w:t>הקנס יקוזז מתוכו והיתרה תוחזר 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חתימה על התחייבות בסך </w:t>
      </w:r>
      <w:r>
        <w:rPr/>
        <w:t>1500</w:t>
      </w:r>
      <w:r>
        <w:rPr>
          <w:rtl w:val="true"/>
        </w:rPr>
        <w:t xml:space="preserve"> ₪  </w:t>
      </w:r>
      <w:r>
        <w:rPr>
          <w:rtl w:val="true"/>
        </w:rPr>
        <w:t>שבמשך שנתיים מהיום לא יעבור את העבירה שבה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 תחתם ההתחייבות ו</w:t>
      </w:r>
      <w:r>
        <w:rPr>
          <w:rtl w:val="true"/>
        </w:rPr>
        <w:t>/</w:t>
      </w:r>
      <w:r>
        <w:rPr>
          <w:rtl w:val="true"/>
        </w:rPr>
        <w:t>או לא ישולם הקנס</w:t>
      </w:r>
      <w:r>
        <w:rPr>
          <w:rtl w:val="true"/>
        </w:rPr>
        <w:t xml:space="preserve">, </w:t>
      </w:r>
      <w:r>
        <w:rPr>
          <w:rtl w:val="true"/>
        </w:rPr>
        <w:t>ייאסר הנאשם 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 xml:space="preserve">הודעת זכות ערעור תוך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ימים מהיום</w:t>
      </w:r>
      <w:r>
        <w:rPr>
          <w:b/>
          <w:bCs/>
          <w:sz w:val="22"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  <w:rtl w:val="true"/>
        </w:rPr>
      </w:r>
    </w:p>
    <w:p>
      <w:pPr>
        <w:pStyle w:val="Normal"/>
        <w:ind w:end="0"/>
        <w:jc w:val="start"/>
        <w:rPr>
          <w:b/>
          <w:bCs/>
          <w:sz w:val="22"/>
        </w:rPr>
      </w:pPr>
      <w:r>
        <w:rPr>
          <w:b/>
          <w:bCs/>
          <w:sz w:val="22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דורית רייך שפירא </w:t>
      </w:r>
      <w:r>
        <w:rPr>
          <w:color w:val="000000"/>
          <w:sz w:val="22"/>
          <w:szCs w:val="22"/>
        </w:rPr>
        <w:t>54678313-3014/08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רייך</w:t>
            </w:r>
            <w:r>
              <w:rPr>
                <w:rFonts w:cs="David"/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אורלי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אמברצ</w:t>
      </w:r>
      <w:r>
        <w:rPr>
          <w:rFonts w:cs="FrankRuehl" w:ascii="Arial" w:hAnsi="Arial"/>
          <w:sz w:val="28"/>
          <w:szCs w:val="28"/>
          <w:rtl w:val="true"/>
        </w:rPr>
        <w:t>'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hyperlink r:id="rId5">
        <w:r>
          <w:rPr>
            <w:rStyle w:val="Hyperlink"/>
            <w:rtl w:val="true"/>
          </w:rPr>
          <w:t>הודעה למנויים על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 xml:space="preserve">חקיקה ועוד באתר נבו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הקש 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/Users/liorb/Downloads/study2025-p2/SH-08-3014-597.doc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3014-08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 xml:space="preserve">א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דמלוו דרור פרדה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014-08"/>
    <w:docVar w:name="caseId" w:val="15433086"/>
    <w:docVar w:name="deriveClass" w:val="NGCS.Protocol.BL.Client.ProtocolBLClientCriminal"/>
    <w:docVar w:name="firstPageNumber" w:val="1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28031"/>
    <w:docVar w:name="releaseSign" w:val="0"/>
    <w:docVar w:name="sittingDateTime" w:val="03/09/2009 09:00     "/>
    <w:docVar w:name="sittingId" w:val="1591428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1958/98&amp;Pvol=&#1504;&#1494;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2009-09-04T20:09:00Z</dcterms:created>
  <dc:creator> </dc:creator>
  <dc:description/>
  <cp:keywords/>
  <dc:language>en-IL</dc:language>
  <cp:lastModifiedBy>comp</cp:lastModifiedBy>
  <cp:lastPrinted>2009-09-03T11:09:00Z</cp:lastPrinted>
  <dcterms:modified xsi:type="dcterms:W3CDTF">2009-09-05T17:06:00Z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דמלוו דרור פרדה</vt:lpwstr>
  </property>
  <property fmtid="{D5CDD505-2E9C-101B-9397-08002B2CF9AE}" pid="4" name="CITY">
    <vt:lpwstr>ת"א</vt:lpwstr>
  </property>
  <property fmtid="{D5CDD505-2E9C-101B-9397-08002B2CF9AE}" pid="5" name="DATE">
    <vt:lpwstr>20090903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דורית רייך שפירא</vt:lpwstr>
  </property>
  <property fmtid="{D5CDD505-2E9C-101B-9397-08002B2CF9AE}" pid="9" name="LAWYER">
    <vt:lpwstr>לילך מאיר וולף;דורית רובין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3014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3014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380020090903</vt:lpwstr>
  </property>
  <property fmtid="{D5CDD505-2E9C-101B-9397-08002B2CF9AE}" pid="35" name="TYPE_N_DATE">
    <vt:lpwstr>38020090903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