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טבת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דצמבר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30406-04-16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148494/2016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מור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זוהיר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חמאד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אבו עמאר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אלעטאונה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הנאשם שלפני נותן את הדין בגין שתי עבירות של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06/04/16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מחזיק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 המטען של רכבו מסוג רנו 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88-687-10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 כלי נשק מסוג תת מקלע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האחד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בתחתית תא המטען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אליו צמודה מחסנית ריקה והשני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בתוך תיק שחור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 עם שתי מחסניות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bookmarkStart w:id="10" w:name="ABSTRACT_END"/>
      <w:bookmarkEnd w:id="10"/>
      <w:r>
        <w:rPr>
          <w:rFonts w:ascii="Calibri" w:hAnsi="Calibri" w:cs="Calibri"/>
          <w:rtl w:val="true"/>
        </w:rPr>
        <w:t>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נקשר בין הצדדים 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 הודה הנאשם בעובדות והורשע בעבירות בהתאם לכתב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עתרו הצדדים לבטל את הכרעת הדין ולחזור בהם מהסכמותיהם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שהנאשם הודה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 הפעם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 האישום המקורי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 הסכימו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יופנה לחקירת שירות המבחן למבוגרים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פרט לכך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לא הגיעו להסכמה כלשהי לענין 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 מהצדדים לא הגיש ראיות לענין 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הערכת שירות המבחן למבוגרים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בענינו של הנאשם הוגשו מספר תסקירים מטעם שירות המבחן 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התסקירים מפרטים נסיבותיו 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כבן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 עובד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בן למשפחה פוליגמית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האב בעל עסק עצמאי בתחום ההובלה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ניהל אורח חיים תקין והתסקיר אינו מפרט קשיים מיוחדים או מחסור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אליהם נחשף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בהתיחס לעבירה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 הנאשם לקצין המבחן מספר גרסאות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תחילה 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גורמים עבריניים החליטו להחביא את כלי הנשק ברכבו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שינה התיחסותו ומסר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אדם שפרטיו אינם ידועים ושלא הכיר אותו הציע לו לרכוש את כלי הנשק והוא עשה זאת לצורך שימוש באירועי שמחה ובחתונות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 כוונות פליליות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התרשם מהנאשם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כמי שמתקשה בהתבוננות מעמיקה באשר לגורמים שהביאוהו להסבתך בעבירות ואינו מאפשר לבחון את העומד בבסיס בחירותיו והתנהלותו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התרשם מפער בין התדמית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שביקש הנאשם להציג לבין קשייו בעריכת תהליך חשבון נפש ובהתבוננות עצמית ביקורתית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התרשם מהתיחסות מצמצמת ביחס לעבירות שעבר הנאשם ומעמימות באופן בו שיתף הנאשם בכל הנוגע למערכת קשריו החברתיים ולבחירותיו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המליץ לדחות את הדיון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לנסות  ולהתחקות אחר מניעיו של הנאשם העומדים בבסיס העבירות 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לאחר תקופת דחיה 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הנאשם מתקשה לבחון את פוטנציאל הפגיעה כתוצאה ממעשיו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מתאר הדברים בצורה שטחית ואת הסתבכותו בעבירות כמקרית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 הערכת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השתלב הנאשם במספר קבוצות טיפוליות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גם 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 לבחון מעשיו באופן ביקורתי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בא שירות המבחן בהמלצה להשית על הנאשם רכיבי ענישה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מוחשיים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בדמות  של עונש מאסר בפועל בדרך של עבודות שירות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מאסר מותנה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 עם צו 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הגישה טענותיה לעונש בכתב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והשלימה אותם על פה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 הדגישה את פוטנציאל הסיכון הקטלני הנובע מהעבירות שעבר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הנשק עלול לשמש גורמים עבריניים ואף גורמים המבקשים את רעתה של מדינת ישראל או הזוממים לעבור עבירות שנאה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 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כלי הנשק נמצאו בכלי 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מוכנים לשימוש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 הפנתה למדיניות הענישה בתקופה האחרונה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בעקבות הנחית פרקליט המדינה מספר </w:t>
      </w:r>
      <w:r>
        <w:rPr>
          <w:rFonts w:cs="Calibri" w:ascii="Calibri" w:hAnsi="Calibri"/>
        </w:rPr>
        <w:t>9.16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לה עותרת התביעה להחמרה בענישה בגין עבירות 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לנוכח טיב כלי הנשק במקרה דנן ואופן החזקתם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עתרה המאשימה למתחם ענישה שינוע בין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ועד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 הודאת הנאשם באשמה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 הצעיר והיעדר הרשעות 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עתרה המאשימה להשית על הנאשם עונש על הצד הנמוך של 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המאשימה עתרה לדחות המלצת שירות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אינה תואמת את מתחם </w:t>
      </w:r>
      <w:r>
        <w:rPr>
          <w:rFonts w:ascii="Calibri" w:hAnsi="Calibri" w:cs="Calibri"/>
          <w:rtl w:val="true"/>
        </w:rPr>
        <w:t>העני</w:t>
      </w:r>
      <w:r>
        <w:rPr>
          <w:rFonts w:ascii="Calibri" w:hAnsi="Calibri" w:cs="Calibri"/>
          <w:rtl w:val="true"/>
        </w:rPr>
        <w:t>שה שנקבע בפסיקה ואינה משקפת את האינטרס של הגנת 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 xml:space="preserve">ההגנה </w:t>
      </w:r>
      <w:r>
        <w:rPr>
          <w:rFonts w:ascii="Calibri" w:hAnsi="Calibri" w:cs="Calibri"/>
          <w:rtl w:val="true"/>
        </w:rPr>
        <w:t>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הענישה היא אינדיבידואלית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 מבקשת ליתן משקל משמעותי לנסיבותיו האישיות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צעיר שזוהי הסתבכותו 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 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 הנאשם אחריות והוא מבין את חומרת 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ההגנה עותרת לחרוג לקולה ממתחם 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מטעמי 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בדברו 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 הנאשם צער על העבירות שעבר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טען 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הוא מודה בעבירות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הקשר עם שירות המבחן מועיל לו וכי מבקש להתחיל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חיים חדשים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מאובטחת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מנעולים</w:t>
      </w:r>
      <w:r>
        <w:rPr>
          <w:rtl w:val="true"/>
        </w:rPr>
        <w:t xml:space="preserve">),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עיוורת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הישוב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מתפקידו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זאת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ראשוני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 xml:space="preserve">... </w:t>
      </w:r>
      <w:r>
        <w:rPr>
          <w:rFonts w:cs="Aharoni"/>
          <w:rtl w:val="true"/>
        </w:rPr>
        <w:t>התגלגלותם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ועוינים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Fonts w:cs="Aharoni"/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יובילו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ודוק</w:t>
      </w:r>
      <w:r>
        <w:rPr>
          <w:rFonts w:cs="Aharoni"/>
          <w:rtl w:val="true"/>
        </w:rPr>
        <w:t xml:space="preserve">: </w:t>
      </w:r>
      <w:r>
        <w:rPr>
          <w:rFonts w:cs="Aharoni"/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שנשקף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כדין</w:t>
      </w:r>
      <w:r>
        <w:rPr>
          <w:rFonts w:cs="Aharoni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למטרת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אחרות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סיכון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שימוש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ופחד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[</w:t>
      </w:r>
      <w:r>
        <w:rPr>
          <w:rFonts w:cs="Aharoni"/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במקור</w:t>
      </w:r>
      <w:r>
        <w:rPr>
          <w:rFonts w:cs="Aharoni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הסיכון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מחיבת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המדובר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לכאורה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אורח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נורמטיבי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לחובתו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הראשונה</w:t>
      </w:r>
      <w:r>
        <w:rPr>
          <w:rFonts w:cs="Aharoni"/>
          <w:rtl w:val="true"/>
        </w:rPr>
        <w:t xml:space="preserve">. </w:t>
      </w:r>
      <w:r>
        <w:rPr>
          <w:rFonts w:cs="Aharoni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זה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דומות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העבריין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משכבר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Fonts w:cs="Aharoni"/>
          <w:u w:val="single"/>
          <w:rtl w:val="true"/>
        </w:rPr>
        <w:t>ככלל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לאסור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המבצעים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זו</w:t>
      </w:r>
      <w:r>
        <w:rPr>
          <w:rFonts w:cs="Aharoni"/>
          <w:u w:val="single"/>
          <w:rtl w:val="true"/>
        </w:rPr>
        <w:t xml:space="preserve">, </w:t>
      </w:r>
      <w:r>
        <w:rPr>
          <w:rFonts w:cs="Aharoni"/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Aharoni"/>
          <w:u w:val="single"/>
          <w:rtl w:val="true"/>
        </w:rPr>
        <w:t>ראשונה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ובריח</w:t>
      </w:r>
      <w:r>
        <w:rPr>
          <w:rFonts w:cs="Aharoni"/>
          <w:rtl w:val="true"/>
        </w:rPr>
        <w:t xml:space="preserve">, </w:t>
      </w:r>
      <w:r>
        <w:rPr>
          <w:rFonts w:cs="Aharoni"/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כלול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והמעשה</w:t>
      </w:r>
      <w:r>
        <w:rPr>
          <w:rFonts w:cs="Aharon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  <w:t>[</w:t>
      </w:r>
      <w:r>
        <w:rPr>
          <w:rFonts w:cs="Aharoni"/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Fonts w:cs="Aharoni"/>
          <w:rtl w:val="true"/>
        </w:rPr>
        <w:t>במקור</w:t>
      </w:r>
      <w:r>
        <w:rPr>
          <w:rFonts w:cs="Aharoni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23419-01-17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;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המתחמים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נמוכים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7544-11-16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22885-05-17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אלאסד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לאדריכלות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32560-12-16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אלסאריעה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לנסיון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בשבתו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לערעורים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הנשיאה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יפה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כץ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שמצא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המערער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אשר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דנן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צעיר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אינדיקציות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נדחות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פסק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שבועות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07/08/16</w:t>
      </w:r>
      <w:r>
        <w:rPr>
          <w:rtl w:val="true"/>
        </w:rPr>
        <w:t xml:space="preserve">)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במיגורן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הוצבה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tl w:val="true"/>
        </w:rPr>
        <w:t xml:space="preserve">, </w:t>
      </w:r>
      <w:r>
        <w:rPr>
          <w:rtl w:val="true"/>
        </w:rPr>
        <w:t>הונחתה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/>
        <w:t>563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כשהמתחם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אוטומטיים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נוקט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בעמדה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מצמצמת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להתחקות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מניעיו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לעבירות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אלסראעיה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26496-09-17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כשלהי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ואינטנסיבי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6237/10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ניכר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מסוים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שאף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שיוחסה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לו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זה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>(</w:t>
      </w:r>
      <w:r>
        <w:rPr>
          <w:rFonts w:cs="Aharoni"/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haron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b/>
            <w:bCs/>
            <w:color w:val="0000FF"/>
            <w:u w:val="single"/>
          </w:rPr>
          <w:t>7037/10</w:t>
        </w:r>
      </w:hyperlink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ישראל</w:t>
      </w:r>
      <w:r>
        <w:rPr>
          <w:rFonts w:cs="Aharoni"/>
          <w:b/>
          <w:bCs/>
          <w:rtl w:val="true"/>
        </w:rPr>
        <w:t xml:space="preserve">). </w:t>
      </w:r>
      <w:r>
        <w:rPr>
          <w:rFonts w:cs="Aharoni"/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המערער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העדיף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השיקום</w:t>
      </w:r>
      <w:r>
        <w:rPr>
          <w:rFonts w:cs="Aharoni"/>
          <w:b/>
          <w:bCs/>
          <w:rtl w:val="true"/>
        </w:rPr>
        <w:t xml:space="preserve">. </w:t>
      </w:r>
      <w:r>
        <w:rPr>
          <w:rFonts w:cs="Aharoni"/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בפלילים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לבדו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לצדו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>(</w:t>
      </w:r>
      <w:hyperlink r:id="rId24"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Aharon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b/>
            <w:bCs/>
            <w:color w:val="0000FF"/>
            <w:u w:val="single"/>
          </w:rPr>
          <w:t>1730/10</w:t>
        </w:r>
      </w:hyperlink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תורג</w:t>
      </w:r>
      <w:r>
        <w:rPr>
          <w:rFonts w:cs="Aharoni"/>
          <w:b/>
          <w:bCs/>
          <w:rtl w:val="true"/>
        </w:rPr>
        <w:t>'</w:t>
      </w:r>
      <w:r>
        <w:rPr>
          <w:rFonts w:cs="Aharoni"/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/>
          <w:bCs/>
          <w:rtl w:val="true"/>
        </w:rPr>
        <w:t>היועץ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המשפטי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לממשלה</w:t>
      </w:r>
      <w:r>
        <w:rPr>
          <w:rFonts w:cs="Aharoni"/>
          <w:b/>
          <w:bCs/>
          <w:rtl w:val="true"/>
        </w:rPr>
        <w:t xml:space="preserve">). </w:t>
      </w:r>
      <w:r>
        <w:rPr>
          <w:rFonts w:cs="Aharoni"/>
          <w:b/>
          <w:b/>
          <w:bCs/>
          <w:rtl w:val="true"/>
        </w:rPr>
        <w:t>בענייננו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הדעת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היתר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וזולתו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הישנותן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אלה</w:t>
      </w:r>
      <w:r>
        <w:rPr>
          <w:rFonts w:cs="Aharoni"/>
          <w:b/>
          <w:bCs/>
          <w:rtl w:val="true"/>
        </w:rPr>
        <w:t xml:space="preserve">, </w:t>
      </w:r>
      <w:r>
        <w:rPr>
          <w:rFonts w:cs="Aharoni"/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להביע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סלידת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Cs/>
          <w:rtl w:val="true"/>
        </w:rPr>
        <w:t>(</w:t>
      </w:r>
      <w:hyperlink r:id="rId25"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haron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cs="Aharon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/>
            <w:b/>
            <w:bCs/>
            <w:color w:val="0000FF"/>
            <w:u w:val="single"/>
          </w:rPr>
          <w:t>10673/04</w:t>
        </w:r>
      </w:hyperlink>
      <w:r>
        <w:rPr>
          <w:rFonts w:cs="Aharoni"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נ</w:t>
      </w:r>
      <w:r>
        <w:rPr>
          <w:rFonts w:cs="Aharoni"/>
          <w:b/>
          <w:bCs/>
          <w:rtl w:val="true"/>
        </w:rPr>
        <w:t xml:space="preserve">' </w:t>
      </w:r>
      <w:r>
        <w:rPr>
          <w:rFonts w:cs="Aharoni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haroni"/>
          <w:b/>
          <w:b/>
          <w:bCs/>
          <w:rtl w:val="true"/>
        </w:rPr>
        <w:t>ישראל</w:t>
      </w:r>
      <w:r>
        <w:rPr>
          <w:rFonts w:cs="Aharoni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Aharoni"/>
        </w:rPr>
      </w:pPr>
      <w:r>
        <w:rPr>
          <w:rFonts w:cs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אלסראעיה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31/12/18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30406-04-16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זוהיר בן חמאד אבו עמאר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/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30344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hCa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2976374" TargetMode="External"/><Relationship Id="rId22" Type="http://schemas.openxmlformats.org/officeDocument/2006/relationships/hyperlink" Target="http://www.nevo.co.il/case/6246956" TargetMode="External"/><Relationship Id="rId23" Type="http://schemas.openxmlformats.org/officeDocument/2006/relationships/hyperlink" Target="http://www.nevo.co.il/case/6247546" TargetMode="External"/><Relationship Id="rId24" Type="http://schemas.openxmlformats.org/officeDocument/2006/relationships/hyperlink" Target="http://www.nevo.co.il/case/5787503" TargetMode="External"/><Relationship Id="rId25" Type="http://schemas.openxmlformats.org/officeDocument/2006/relationships/hyperlink" Target="http://www.nevo.co.il/case/617320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hCaS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8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2018-05-24T12:20:00Z</dcterms:created>
  <dc:creator> </dc:creator>
  <dc:description/>
  <cp:keywords/>
  <dc:language>en-IL</dc:language>
  <cp:lastModifiedBy>run</cp:lastModifiedBy>
  <dcterms:modified xsi:type="dcterms:W3CDTF">2018-05-24T12:20:00Z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זוהיר בן חמאד אבו עמאר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21303448;16913730;7791493:2;5852404;6000182;22112345;22001830;22607175;21778276;22976374;6246956;6247546;5787503;6173204</vt:lpwstr>
  </property>
  <property fmtid="{D5CDD505-2E9C-101B-9397-08002B2CF9AE}" pid="9" name="CITY">
    <vt:lpwstr>ב"ש</vt:lpwstr>
  </property>
  <property fmtid="{D5CDD505-2E9C-101B-9397-08002B2CF9AE}" pid="10" name="DATE">
    <vt:lpwstr>20171224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70301/144.a:3;144.b;hCaS;186</vt:lpwstr>
  </property>
  <property fmtid="{D5CDD505-2E9C-101B-9397-08002B2CF9AE}" pid="15" name="LAWYER">
    <vt:lpwstr>דניאל מור;נאצר אלעטאונה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30406</vt:lpwstr>
  </property>
  <property fmtid="{D5CDD505-2E9C-101B-9397-08002B2CF9AE}" pid="22" name="NEWPARTB">
    <vt:lpwstr>04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380020171224</vt:lpwstr>
  </property>
  <property fmtid="{D5CDD505-2E9C-101B-9397-08002B2CF9AE}" pid="34" name="TYPE_N_DATE">
    <vt:lpwstr>38020171224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