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30570-07-16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מדע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גונן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נשיאה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שירה רוג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נידל אבו מדע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ם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)-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יהודית ברקוביץ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'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כתב אישום מתוקן התקבל וסומן כא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והוא ייסרק על ידי המזכירות לתיק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תשרי 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/>
        <w:t>06/10/2016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הודאת הנאשם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אני מרשיע אותו בעבירות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שהן עבירות של החזקת נשק ומעשה פזיזות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 xml:space="preserve">- </w:t>
      </w:r>
      <w:r>
        <w:rPr/>
        <w:t>338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תשרי תשע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/>
        <w:t>06/10/2016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bookmarkStart w:id="6" w:name="PsakDin"/>
      <w:bookmarkStart w:id="7" w:name="ABSTRACT_START"/>
      <w:bookmarkEnd w:id="6"/>
      <w:bookmarkEnd w:id="7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בעבירות של החזקת נשק ומעשה פזיזות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 xml:space="preserve">- </w:t>
      </w:r>
      <w:r>
        <w:rPr/>
        <w:t>338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bookmarkStart w:id="8" w:name="PsakDin"/>
      <w:bookmarkStart w:id="9" w:name="ABSTRACT_END"/>
      <w:bookmarkEnd w:id="8"/>
      <w:bookmarkEnd w:id="9"/>
      <w:r>
        <w:rPr>
          <w:rtl w:val="true"/>
        </w:rPr>
        <w:t xml:space="preserve">נסיבות המקרה הן שביום </w:t>
      </w:r>
      <w:r>
        <w:rPr/>
        <w:t>2.7.2016</w:t>
      </w:r>
      <w:r>
        <w:rPr>
          <w:rtl w:val="true"/>
        </w:rPr>
        <w:t xml:space="preserve"> </w:t>
      </w:r>
      <w:r>
        <w:rPr>
          <w:rtl w:val="true"/>
        </w:rPr>
        <w:t>החזיק הנאשם רימון הלם סינוור</w:t>
      </w:r>
      <w:r>
        <w:rPr>
          <w:rtl w:val="true"/>
        </w:rPr>
        <w:t xml:space="preserve">, </w:t>
      </w:r>
      <w:r>
        <w:rPr>
          <w:rtl w:val="true"/>
        </w:rPr>
        <w:t>הוא נסע ברכבו באזור התעשיה ברהט וכשעבר ליד עסקו של המתלונן השליך את הרימון לעבר פתח העסק וגרם לבהלה בקרב האזרחים במקום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 xml:space="preserve">הצדדים הגיעו להסדר טיעון לאחר הליך של דיון מקדמי ועתרו במשותף להשית על הנאשם עונש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לצד קנס מוסכם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 xml:space="preserve">הנאשם כבן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בעברו הרשעות של עבירות איומים ואף סיכון אדם בנתיב תחבורה בירי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6" w:end="0"/>
        <w:jc w:val="both"/>
        <w:rPr/>
      </w:pPr>
      <w:r>
        <w:rPr>
          <w:rtl w:val="true"/>
        </w:rPr>
        <w:t>בית המשפט נחשף במסגרת הדיון המקדמי גם לקשיים הראייתים ואכן ההסדר העונשי אכן נמצא במסגרת מתחמי הענישה הנוהגים</w:t>
      </w:r>
      <w:r>
        <w:rPr>
          <w:rtl w:val="true"/>
        </w:rPr>
        <w:t xml:space="preserve">. </w:t>
      </w:r>
      <w:r>
        <w:rPr>
          <w:rtl w:val="true"/>
        </w:rPr>
        <w:t>ההסדר מביא גם בחשבון את נטילת האחריות המהירה מצד הנאשם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אני מאשר את ההסדר ודן את הנאשם לעונשים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אשר ימנו מיום מעצרו </w:t>
      </w:r>
      <w:r>
        <w:rPr/>
        <w:t>7.7.2016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שלוש שנים בהתאם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52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שלא יעבור עבירה בה הוא הורשע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>
          <w:rtl w:val="true"/>
        </w:rPr>
        <w:t xml:space="preserve">קנס כספי בסך </w:t>
      </w:r>
      <w:r>
        <w:rPr/>
        <w:t>7,500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</w:t>
      </w:r>
      <w:r>
        <w:rPr>
          <w:rtl w:val="true"/>
        </w:rPr>
        <w:t xml:space="preserve">, </w:t>
      </w:r>
      <w:r>
        <w:rPr>
          <w:rtl w:val="true"/>
        </w:rPr>
        <w:t>לבקשת הנאשם</w:t>
      </w:r>
      <w:r>
        <w:rPr>
          <w:rtl w:val="true"/>
        </w:rPr>
        <w:t xml:space="preserve">, </w:t>
      </w:r>
      <w:r>
        <w:rPr>
          <w:rtl w:val="true"/>
        </w:rPr>
        <w:t>בדרך של קיזוז מהפיקדון שהופקד בתיק מ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30631-07-16</w:t>
      </w:r>
      <w:r>
        <w:rPr>
          <w:rtl w:val="true"/>
        </w:rPr>
        <w:t xml:space="preserve"> </w:t>
      </w:r>
      <w:r>
        <w:rPr>
          <w:rtl w:val="true"/>
        </w:rPr>
        <w:t xml:space="preserve">וזאת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tl w:val="true"/>
        </w:rPr>
        <w:t>יתרת הפיקדון בתיק מ</w:t>
      </w:r>
      <w:r>
        <w:rPr>
          <w:rtl w:val="true"/>
        </w:rPr>
        <w:t>.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/>
        <w:t>30631-07-16</w:t>
      </w:r>
      <w:r>
        <w:rPr>
          <w:rtl w:val="true"/>
        </w:rPr>
        <w:t xml:space="preserve"> (</w:t>
      </w:r>
      <w:r>
        <w:rPr>
          <w:rtl w:val="true"/>
        </w:rPr>
        <w:t>לאחר הקיזוז האמור</w:t>
      </w:r>
      <w:r>
        <w:rPr>
          <w:rtl w:val="true"/>
        </w:rPr>
        <w:t xml:space="preserve">) </w:t>
      </w:r>
      <w:r>
        <w:rPr>
          <w:rtl w:val="true"/>
        </w:rPr>
        <w:t>תושב לאביו של הנאשם</w:t>
      </w:r>
      <w:r>
        <w:rPr>
          <w:rtl w:val="true"/>
        </w:rPr>
        <w:t xml:space="preserve">, </w:t>
      </w:r>
      <w:r>
        <w:rPr>
          <w:rtl w:val="true"/>
        </w:rPr>
        <w:t>מר עבדאללה אבו מדע</w:t>
      </w:r>
      <w:r>
        <w:rPr>
          <w:rtl w:val="true"/>
        </w:rPr>
        <w:t>'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 xml:space="preserve">ז </w:t>
      </w:r>
      <w:r>
        <w:rPr/>
        <w:t>xxxxxxxxx</w:t>
      </w:r>
      <w:r>
        <w:rPr>
          <w:rtl w:val="true"/>
        </w:rPr>
        <w:t>וזאת ככל שאין מניעה שבדין לעשות זאת</w:t>
      </w:r>
      <w:r>
        <w:rPr>
          <w:rtl w:val="true"/>
        </w:rPr>
        <w:t xml:space="preserve">, </w:t>
      </w:r>
      <w:r>
        <w:rPr>
          <w:rtl w:val="true"/>
        </w:rPr>
        <w:t>ובהתאם לפרטי חשבון בנק שימסור במזכירות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60" w:after="0"/>
        <w:ind w:start="386" w:end="0"/>
        <w:jc w:val="both"/>
        <w:rPr/>
      </w:pPr>
      <w:r>
        <w:rPr>
          <w:rtl w:val="true"/>
        </w:rPr>
        <w:t>המגבלות שהוטלו על הרכב 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58-493-16</w:t>
      </w:r>
      <w:r>
        <w:rPr>
          <w:rtl w:val="true"/>
        </w:rPr>
        <w:t xml:space="preserve"> </w:t>
      </w:r>
      <w:r>
        <w:rPr>
          <w:rtl w:val="true"/>
        </w:rPr>
        <w:t xml:space="preserve">בגין הליך זה </w:t>
      </w:r>
      <w:r>
        <w:rPr>
          <w:rtl w:val="true"/>
        </w:rPr>
        <w:t>–</w:t>
      </w:r>
      <w:r>
        <w:rPr>
          <w:rtl w:val="true"/>
        </w:rPr>
        <w:t xml:space="preserve"> יוסרו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לבית המשפט המחוזי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06/10/2016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שיר</w:t>
      </w:r>
      <w:r>
        <w:rPr>
          <w:rtl w:val="true"/>
        </w:rPr>
        <w:t xml:space="preserve"> </w:t>
      </w:r>
      <w:r>
        <w:rPr>
          <w:rtl w:val="true"/>
        </w:rPr>
        <w:t>ביטון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איתי ברסלר גונן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30570-07-16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נידל אבו מדע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716"/>
        </w:tabs>
        <w:ind w:start="716" w:hanging="69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2.c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52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advertisements/nevo-100.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2016-10-18T11:32:00Z</dcterms:created>
  <dc:creator> </dc:creator>
  <dc:description/>
  <cp:keywords/>
  <dc:language>en-IL</dc:language>
  <cp:lastModifiedBy>hofit</cp:lastModifiedBy>
  <dcterms:modified xsi:type="dcterms:W3CDTF">2016-10-18T11:32:00Z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נידל אבו מדע'ם</vt:lpwstr>
  </property>
  <property fmtid="{D5CDD505-2E9C-101B-9397-08002B2CF9AE}" pid="4" name="CASENOTES1">
    <vt:lpwstr>ProcID=80;213&amp;PartA=30631&amp;PartB=07&amp;PartC=16</vt:lpwstr>
  </property>
  <property fmtid="{D5CDD505-2E9C-101B-9397-08002B2CF9AE}" pid="5" name="CITY">
    <vt:lpwstr>ב"ש</vt:lpwstr>
  </property>
  <property fmtid="{D5CDD505-2E9C-101B-9397-08002B2CF9AE}" pid="6" name="DATE">
    <vt:lpwstr>20161006</vt:lpwstr>
  </property>
  <property fmtid="{D5CDD505-2E9C-101B-9397-08002B2CF9AE}" pid="7" name="ISABSTRACT">
    <vt:lpwstr>Y</vt:lpwstr>
  </property>
  <property fmtid="{D5CDD505-2E9C-101B-9397-08002B2CF9AE}" pid="8" name="JUDGE">
    <vt:lpwstr>איתי ברסלר גונן</vt:lpwstr>
  </property>
  <property fmtid="{D5CDD505-2E9C-101B-9397-08002B2CF9AE}" pid="9" name="LAWLISTTMP1">
    <vt:lpwstr>70301/144.a;052.c</vt:lpwstr>
  </property>
  <property fmtid="{D5CDD505-2E9C-101B-9397-08002B2CF9AE}" pid="10" name="LAWYER">
    <vt:lpwstr>שירה רוג;יהודית ברקוביץ'</vt:lpwstr>
  </property>
  <property fmtid="{D5CDD505-2E9C-101B-9397-08002B2CF9AE}" pid="11" name="NEWPARTA">
    <vt:lpwstr>30570</vt:lpwstr>
  </property>
  <property fmtid="{D5CDD505-2E9C-101B-9397-08002B2CF9AE}" pid="12" name="NEWPARTB">
    <vt:lpwstr>07</vt:lpwstr>
  </property>
  <property fmtid="{D5CDD505-2E9C-101B-9397-08002B2CF9AE}" pid="13" name="NEWPARTC">
    <vt:lpwstr>16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380020161006</vt:lpwstr>
  </property>
  <property fmtid="{D5CDD505-2E9C-101B-9397-08002B2CF9AE}" pid="18" name="TYPE_N_DATE">
    <vt:lpwstr>38020161006</vt:lpwstr>
  </property>
  <property fmtid="{D5CDD505-2E9C-101B-9397-08002B2CF9AE}" pid="19" name="WORDNUMPAGES">
    <vt:lpwstr>3</vt:lpwstr>
  </property>
</Properties>
</file>