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30617-02-22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זכרוב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שירה מוהר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ארנסט זכרוב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משה אורן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במסגרת הסדר טיעון בעובדות כתב אישום מתוקן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tl w:val="true"/>
        </w:rPr>
        <w:t xml:space="preserve">בעבירות </w:t>
      </w:r>
      <w:r>
        <w:rPr>
          <w:u w:val="single"/>
          <w:rtl w:val="true"/>
        </w:rPr>
        <w:t>סיוע לנשיאה והובלת נשק ותחמושת</w:t>
      </w:r>
      <w:r>
        <w:rPr>
          <w:rtl w:val="true"/>
        </w:rPr>
        <w:t xml:space="preserve"> 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יחד עם סעף </w:t>
      </w:r>
      <w:hyperlink r:id="rId11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 xml:space="preserve">שיבוש מהלכי משפט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שתי עבירות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לפי סעיף </w:t>
      </w:r>
      <w:hyperlink r:id="rId13"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 xml:space="preserve">הדחה בחקירה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שלוש עבירות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עובדות כתב האישום המתוקן מתארות אירוע חריג ויוצא דופן בנסיבותיו ותוצאותיו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כמפורט באישום הראשון</w:t>
      </w:r>
      <w:r>
        <w:rPr>
          <w:rtl w:val="true"/>
        </w:rPr>
        <w:t xml:space="preserve">, </w:t>
      </w:r>
      <w:r>
        <w:rPr>
          <w:rtl w:val="true"/>
        </w:rPr>
        <w:t>הנאשם ואילן זכרוב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אילן</w:t>
      </w:r>
      <w:r>
        <w:rPr>
          <w:rtl w:val="true"/>
        </w:rPr>
        <w:t xml:space="preserve">") </w:t>
      </w:r>
      <w:r>
        <w:rPr>
          <w:rtl w:val="true"/>
        </w:rPr>
        <w:t>הם אחים</w:t>
      </w:r>
      <w:r>
        <w:rPr>
          <w:rtl w:val="true"/>
        </w:rPr>
        <w:t xml:space="preserve">. </w:t>
      </w:r>
      <w:r>
        <w:rPr>
          <w:rtl w:val="true"/>
        </w:rPr>
        <w:t xml:space="preserve">בין אילן לבני טוחטייב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בני</w:t>
      </w:r>
      <w:r>
        <w:rPr>
          <w:rtl w:val="true"/>
        </w:rPr>
        <w:t xml:space="preserve">") </w:t>
      </w:r>
      <w:r>
        <w:rPr>
          <w:rtl w:val="true"/>
        </w:rPr>
        <w:t>סכסוך שטיבו אינו ידוע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גמלה בלבו של אילן החלטה לגרום למותו של בני</w:t>
      </w:r>
      <w:r>
        <w:rPr>
          <w:rtl w:val="true"/>
        </w:rPr>
        <w:t xml:space="preserve">. </w:t>
      </w:r>
      <w:r>
        <w:rPr>
          <w:rtl w:val="true"/>
        </w:rPr>
        <w:t>במועד הרלוונטי החזיק בני קטנוע בבעלותו של אילן</w:t>
      </w:r>
      <w:r>
        <w:rPr>
          <w:rtl w:val="true"/>
        </w:rPr>
        <w:t xml:space="preserve">, </w:t>
      </w:r>
      <w:r>
        <w:rPr>
          <w:rtl w:val="true"/>
        </w:rPr>
        <w:t xml:space="preserve">ללא הסכמתו של האחרון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הקטנוע</w:t>
      </w:r>
      <w:r>
        <w:rPr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6.1.22</w:t>
      </w:r>
      <w:r>
        <w:rPr>
          <w:rtl w:val="true"/>
        </w:rPr>
        <w:t xml:space="preserve">, </w:t>
      </w:r>
      <w:r>
        <w:rPr>
          <w:rtl w:val="true"/>
        </w:rPr>
        <w:t>הגיע בני באמצעות הקטנוע לבית מגורי משפחתו בנתניה</w:t>
      </w:r>
      <w:r>
        <w:rPr>
          <w:rtl w:val="true"/>
        </w:rPr>
        <w:t xml:space="preserve">. </w:t>
      </w:r>
      <w:r>
        <w:rPr>
          <w:rtl w:val="true"/>
        </w:rPr>
        <w:t xml:space="preserve">במועד זה בשעה </w:t>
      </w:r>
      <w:r>
        <w:rPr/>
        <w:t>19:50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נסעו אילן והנאשם לכיוון ביתו של בני</w:t>
      </w:r>
      <w:r>
        <w:rPr>
          <w:rtl w:val="true"/>
        </w:rPr>
        <w:t xml:space="preserve">, </w:t>
      </w:r>
      <w:r>
        <w:rPr>
          <w:rtl w:val="true"/>
        </w:rPr>
        <w:t>הנאשם נהג ברכב</w:t>
      </w:r>
      <w:r>
        <w:rPr>
          <w:rtl w:val="true"/>
        </w:rPr>
        <w:t xml:space="preserve">, </w:t>
      </w:r>
      <w:r>
        <w:rPr>
          <w:rtl w:val="true"/>
        </w:rPr>
        <w:t>אילן לצדו</w:t>
      </w:r>
      <w:r>
        <w:rPr>
          <w:rtl w:val="true"/>
        </w:rPr>
        <w:t xml:space="preserve">, </w:t>
      </w:r>
      <w:r>
        <w:rPr>
          <w:rtl w:val="true"/>
        </w:rPr>
        <w:t>כשהוא נושא אקדח חצי אוטומטי טעון במחסנית וכדורים תואמים</w:t>
      </w:r>
      <w:r>
        <w:rPr>
          <w:rtl w:val="true"/>
        </w:rPr>
        <w:t xml:space="preserve">, </w:t>
      </w:r>
      <w:r>
        <w:rPr>
          <w:rtl w:val="true"/>
        </w:rPr>
        <w:t>בידיעתו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 השניים בסמוך לביתו של בני והמתינו לצאתו</w:t>
      </w:r>
      <w:r>
        <w:rPr>
          <w:rtl w:val="true"/>
        </w:rPr>
        <w:t xml:space="preserve">. </w:t>
      </w:r>
      <w:r>
        <w:rPr>
          <w:rtl w:val="true"/>
        </w:rPr>
        <w:t>כעבור כשעה</w:t>
      </w:r>
      <w:r>
        <w:rPr>
          <w:rtl w:val="true"/>
        </w:rPr>
        <w:t xml:space="preserve">, </w:t>
      </w:r>
      <w:r>
        <w:rPr>
          <w:rtl w:val="true"/>
        </w:rPr>
        <w:t>יצא בני מהבית והתקרב אל הקטנוע במטרה לנסוע באמצעותו חזרה לביתו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יצא אילן מהרכב כשהוא נושא עליו את 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התקרב לעברו של בני וירה לעברו מספר יריות לפלג גופו העליון מטווח קצר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בני הסתובב לעברו של אילן והתפתח ביניהם מאבק שבמהלכו נפל האקדח על המדרכה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בשלב כלשהו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לקח בני את האקדח והכה באמצעותו של אילן מספר פעמים בראשו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בכל אותה 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ישב הנאשם בסמוך בתוך הרכב ואף יצא ממנו בשלב מסוים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לעבר אילן ובני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הסיע הנאשם את אחיו הפצוע לבית החולים</w:t>
      </w:r>
      <w:r>
        <w:rPr>
          <w:rtl w:val="true"/>
        </w:rPr>
        <w:t xml:space="preserve">, </w:t>
      </w:r>
      <w:r>
        <w:rPr>
          <w:rtl w:val="true"/>
        </w:rPr>
        <w:t>בעוד בני פונה מהמקום באמצעות ניידת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תוצאות האירוע קשות</w:t>
      </w:r>
      <w:r>
        <w:rPr>
          <w:rtl w:val="true"/>
        </w:rPr>
        <w:t xml:space="preserve">:  </w:t>
      </w:r>
      <w:r>
        <w:rPr>
          <w:rtl w:val="true"/>
        </w:rPr>
        <w:t>לבני נגרמו פצעי ירי והוא נותח ואושפז בבית החולים</w:t>
      </w:r>
      <w:r>
        <w:rPr>
          <w:rtl w:val="true"/>
        </w:rPr>
        <w:t xml:space="preserve">, </w:t>
      </w:r>
      <w:r>
        <w:rPr>
          <w:rtl w:val="true"/>
        </w:rPr>
        <w:t xml:space="preserve">אילן נפטר מפצעיו ביום </w:t>
      </w:r>
      <w:r>
        <w:rPr/>
        <w:t>17.1.22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כמפורט באישום השני</w:t>
      </w:r>
      <w:r>
        <w:rPr>
          <w:rtl w:val="true"/>
        </w:rPr>
        <w:t xml:space="preserve">, </w:t>
      </w:r>
      <w:r>
        <w:rPr>
          <w:rtl w:val="true"/>
        </w:rPr>
        <w:t>בהמשך לאירוע המתואר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6.1.22</w:t>
      </w:r>
      <w:r>
        <w:rPr>
          <w:rtl w:val="true"/>
        </w:rPr>
        <w:t xml:space="preserve"> </w:t>
      </w:r>
      <w:r>
        <w:rPr>
          <w:rtl w:val="true"/>
        </w:rPr>
        <w:t>בשעת לילה</w:t>
      </w:r>
      <w:r>
        <w:rPr>
          <w:rtl w:val="true"/>
        </w:rPr>
        <w:t xml:space="preserve">, </w:t>
      </w:r>
      <w:r>
        <w:rPr>
          <w:rtl w:val="true"/>
        </w:rPr>
        <w:t>ביצע הנאשם מספר פעולות הדחה במטרה להכשיל את החקירה המשטרתית בגין אירועי האישום הראשון</w:t>
      </w:r>
      <w:r>
        <w:rPr>
          <w:rtl w:val="true"/>
        </w:rPr>
        <w:t xml:space="preserve">, </w:t>
      </w:r>
      <w:r>
        <w:rPr>
          <w:rtl w:val="true"/>
        </w:rPr>
        <w:t>הוא הורה  לבת זוגו של אחיו</w:t>
      </w:r>
      <w:r>
        <w:rPr>
          <w:rtl w:val="true"/>
        </w:rPr>
        <w:t xml:space="preserve">, </w:t>
      </w:r>
      <w:r>
        <w:rPr>
          <w:rtl w:val="true"/>
        </w:rPr>
        <w:t>באמצעות הודעת טקסט</w:t>
      </w:r>
      <w:r>
        <w:rPr>
          <w:rtl w:val="true"/>
        </w:rPr>
        <w:t xml:space="preserve">, </w:t>
      </w:r>
      <w:r>
        <w:rPr>
          <w:rtl w:val="true"/>
        </w:rPr>
        <w:t>להשמיד את כרטיס הסים בטלפון הנייד שברשותה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17.1.22</w:t>
      </w:r>
      <w:r>
        <w:rPr>
          <w:rtl w:val="true"/>
        </w:rPr>
        <w:t xml:space="preserve">, </w:t>
      </w:r>
      <w:r>
        <w:rPr>
          <w:rtl w:val="true"/>
        </w:rPr>
        <w:t>שוחח עימה והורה לה לומר בחקירה המשטרתית אליה זומנה כי אינה יודעת דבר על נסיבות האירוע המפורט באישום הראשון</w:t>
      </w:r>
      <w:r>
        <w:rPr>
          <w:rtl w:val="true"/>
        </w:rPr>
        <w:t xml:space="preserve">. </w:t>
      </w:r>
      <w:r>
        <w:rPr>
          <w:rtl w:val="true"/>
        </w:rPr>
        <w:t xml:space="preserve">כך הורה גם לאביו בשיחתם ביום </w:t>
      </w:r>
      <w:r>
        <w:rPr/>
        <w:t>30.1.22</w:t>
      </w:r>
      <w:r>
        <w:rPr>
          <w:rtl w:val="true"/>
        </w:rPr>
        <w:t xml:space="preserve">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>אף החביא הנאשם את הטלפון הנייד ברשותו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בגין מעשיו אלו הורשע בשתי עבירות שיבוש מהלכי משפט ושלוש עבירות הדחה בחקירה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הצדדים הציגו הסדר טיעון דיוני</w:t>
      </w:r>
      <w:r>
        <w:rPr>
          <w:rtl w:val="true"/>
        </w:rPr>
        <w:t xml:space="preserve">, </w:t>
      </w:r>
      <w:r>
        <w:rPr>
          <w:rtl w:val="true"/>
        </w:rPr>
        <w:t>פרי הליך גישור שהתנהל בפני כבוד השופט טרסי</w:t>
      </w:r>
      <w:r>
        <w:rPr>
          <w:rtl w:val="true"/>
        </w:rPr>
        <w:t xml:space="preserve">, </w:t>
      </w:r>
      <w:r>
        <w:rPr>
          <w:rtl w:val="true"/>
        </w:rPr>
        <w:t>במסגרתו הודה והורשע הנאשם בעובדות כתב האישום המתוקן והופנה לתסקיר שירות המבחן</w:t>
      </w:r>
      <w:r>
        <w:rPr>
          <w:rtl w:val="true"/>
        </w:rPr>
        <w:t xml:space="preserve">, </w:t>
      </w:r>
      <w:r>
        <w:rPr>
          <w:rtl w:val="true"/>
        </w:rPr>
        <w:t>ללא להסכמות עונשיות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עלה בילדותו עם משפחתו מברית המועצות</w:t>
      </w:r>
      <w:r>
        <w:rPr>
          <w:rtl w:val="true"/>
        </w:rPr>
        <w:t xml:space="preserve">. </w:t>
      </w:r>
      <w:r>
        <w:rPr>
          <w:rtl w:val="true"/>
        </w:rPr>
        <w:t>עקב מצבם הכלכלי הקשה של הוריו</w:t>
      </w:r>
      <w:r>
        <w:rPr>
          <w:rtl w:val="true"/>
        </w:rPr>
        <w:t xml:space="preserve">, </w:t>
      </w:r>
      <w:r>
        <w:rPr>
          <w:rtl w:val="true"/>
        </w:rPr>
        <w:t>התחנך בפנימיות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עם תעודת בגרות חלקית</w:t>
      </w:r>
      <w:r>
        <w:rPr>
          <w:rtl w:val="true"/>
        </w:rPr>
        <w:t xml:space="preserve">. </w:t>
      </w:r>
      <w:r>
        <w:rPr>
          <w:rtl w:val="true"/>
        </w:rPr>
        <w:t>במקביל ללימודיו עבד מגיל צעיר לפרנסתו</w:t>
      </w:r>
      <w:r>
        <w:rPr>
          <w:rtl w:val="true"/>
        </w:rPr>
        <w:t xml:space="preserve">. </w:t>
      </w:r>
      <w:r>
        <w:rPr>
          <w:rtl w:val="true"/>
        </w:rPr>
        <w:t>שירת בצבא במשמר הגבול ושוחרר מספר חודשים טרם תום השירות</w:t>
      </w:r>
      <w:r>
        <w:rPr>
          <w:rtl w:val="true"/>
        </w:rPr>
        <w:t xml:space="preserve">, </w:t>
      </w:r>
      <w:r>
        <w:rPr>
          <w:rtl w:val="true"/>
        </w:rPr>
        <w:t>כדי לסייע לאשתו דאז במהלך הריונה</w:t>
      </w:r>
      <w:r>
        <w:rPr>
          <w:rtl w:val="true"/>
        </w:rPr>
        <w:t xml:space="preserve">. </w:t>
      </w:r>
      <w:r>
        <w:rPr>
          <w:rtl w:val="true"/>
        </w:rPr>
        <w:t>בתחום התעסוקתי</w:t>
      </w:r>
      <w:r>
        <w:rPr>
          <w:rtl w:val="true"/>
        </w:rPr>
        <w:t xml:space="preserve">, </w:t>
      </w:r>
      <w:r>
        <w:rPr>
          <w:rtl w:val="true"/>
        </w:rPr>
        <w:t>שמר על רצף תעסוקתי בעבודות שונות</w:t>
      </w:r>
      <w:r>
        <w:rPr>
          <w:rtl w:val="true"/>
        </w:rPr>
        <w:t xml:space="preserve">, </w:t>
      </w:r>
      <w:r>
        <w:rPr>
          <w:rtl w:val="true"/>
        </w:rPr>
        <w:t>לעיתים עבד בשתי עבודות במקביל</w:t>
      </w:r>
      <w:r>
        <w:rPr>
          <w:rtl w:val="true"/>
        </w:rPr>
        <w:t xml:space="preserve">, </w:t>
      </w:r>
      <w:r>
        <w:rPr>
          <w:rtl w:val="true"/>
        </w:rPr>
        <w:t>למד והוציא רישיונות בתיווך במקרקעין ובנהיגה ברכב ציבורי</w:t>
      </w:r>
      <w:r>
        <w:rPr>
          <w:rtl w:val="true"/>
        </w:rPr>
        <w:t xml:space="preserve">, </w:t>
      </w:r>
      <w:r>
        <w:rPr>
          <w:rtl w:val="true"/>
        </w:rPr>
        <w:t>עבד כראש צוות אבטחה בחברת חשמל ומזה כארבע עשרה שנים עובד כעצמאי בעסק בבעלותו בתחום ההסעות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באשר למשפחת מוצאו</w:t>
      </w:r>
      <w:r>
        <w:rPr>
          <w:rtl w:val="true"/>
        </w:rPr>
        <w:t xml:space="preserve">, </w:t>
      </w:r>
      <w:r>
        <w:rPr>
          <w:rtl w:val="true"/>
        </w:rPr>
        <w:t>הוריו התגרשו כשהיה נער</w:t>
      </w:r>
      <w:r>
        <w:rPr>
          <w:rtl w:val="true"/>
        </w:rPr>
        <w:t xml:space="preserve">, </w:t>
      </w:r>
      <w:r>
        <w:rPr>
          <w:rtl w:val="true"/>
        </w:rPr>
        <w:t>שלושת אחיו מקיימים אורח חיים תקין</w:t>
      </w:r>
      <w:r>
        <w:rPr>
          <w:rtl w:val="true"/>
        </w:rPr>
        <w:t xml:space="preserve">. </w:t>
      </w:r>
      <w:r>
        <w:rPr>
          <w:rtl w:val="true"/>
        </w:rPr>
        <w:t>עוד תיאר כי מאז פטירת אחיו הצעיר</w:t>
      </w:r>
      <w:r>
        <w:rPr>
          <w:rtl w:val="true"/>
        </w:rPr>
        <w:t xml:space="preserve">, </w:t>
      </w:r>
      <w:r>
        <w:rPr>
          <w:rtl w:val="true"/>
        </w:rPr>
        <w:t>חש שמשפחתו</w:t>
      </w:r>
      <w:r>
        <w:rPr>
          <w:rtl w:val="true"/>
        </w:rPr>
        <w:t xml:space="preserve">, </w:t>
      </w:r>
      <w:r>
        <w:rPr>
          <w:rtl w:val="true"/>
        </w:rPr>
        <w:t>בעיקר אמו</w:t>
      </w:r>
      <w:r>
        <w:rPr>
          <w:rtl w:val="true"/>
        </w:rPr>
        <w:t xml:space="preserve">, </w:t>
      </w:r>
      <w:r>
        <w:rPr>
          <w:rtl w:val="true"/>
        </w:rPr>
        <w:t>מאשימים אותו שלא שמר על אחיו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חווה כלפי האח תחושות קשות ומעורבות</w:t>
      </w:r>
      <w:r>
        <w:rPr>
          <w:rtl w:val="true"/>
        </w:rPr>
        <w:t xml:space="preserve">, </w:t>
      </w:r>
      <w:r>
        <w:rPr>
          <w:rtl w:val="true"/>
        </w:rPr>
        <w:t>בעיקר תחושות עצב ואובדן ובמקביל כעס כלפיו על כך שגרם להסתבכותו באירוע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בתחום המשפחתי</w:t>
      </w:r>
      <w:r>
        <w:rPr>
          <w:rtl w:val="true"/>
        </w:rPr>
        <w:t xml:space="preserve">, </w:t>
      </w:r>
      <w:r>
        <w:rPr>
          <w:rtl w:val="true"/>
        </w:rPr>
        <w:t>נשוי בשנית</w:t>
      </w:r>
      <w:r>
        <w:rPr>
          <w:rtl w:val="true"/>
        </w:rPr>
        <w:t xml:space="preserve">, </w:t>
      </w:r>
      <w:r>
        <w:rPr>
          <w:rtl w:val="true"/>
        </w:rPr>
        <w:t xml:space="preserve">אב לילד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מנישואיו הקודמים</w:t>
      </w:r>
      <w:r>
        <w:rPr>
          <w:rtl w:val="true"/>
        </w:rPr>
        <w:t xml:space="preserve">, </w:t>
      </w:r>
      <w:r>
        <w:rPr>
          <w:rtl w:val="true"/>
        </w:rPr>
        <w:t>אשתו הנוכחית בחודשי הריון מתקדמים</w:t>
      </w:r>
      <w:r>
        <w:rPr>
          <w:rtl w:val="true"/>
        </w:rPr>
        <w:t xml:space="preserve">. </w:t>
      </w:r>
      <w:r>
        <w:rPr>
          <w:rtl w:val="true"/>
        </w:rPr>
        <w:t xml:space="preserve">את אשתו הראשונה הכיר בגיל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 xml:space="preserve">השניים נישאו בהיותו בן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אשתו סבלה מדיכאון לאחר הלידה</w:t>
      </w:r>
      <w:r>
        <w:rPr>
          <w:rtl w:val="true"/>
        </w:rPr>
        <w:t xml:space="preserve">, </w:t>
      </w:r>
      <w:r>
        <w:rPr>
          <w:rtl w:val="true"/>
        </w:rPr>
        <w:t>על רקע זה עזבה את ביתם</w:t>
      </w:r>
      <w:r>
        <w:rPr>
          <w:rtl w:val="true"/>
        </w:rPr>
        <w:t xml:space="preserve">, </w:t>
      </w:r>
      <w:r>
        <w:rPr>
          <w:rtl w:val="true"/>
        </w:rPr>
        <w:t>ומאז מגדל הנאשם את בנם לבדו בסיוע אמו</w:t>
      </w:r>
      <w:r>
        <w:rPr>
          <w:rtl w:val="true"/>
        </w:rPr>
        <w:t xml:space="preserve">. </w:t>
      </w:r>
      <w:r>
        <w:rPr>
          <w:rtl w:val="true"/>
        </w:rPr>
        <w:t>בהמשך השניים התגרשו ונותק עימה הקשר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הנאשם מגלה מסירות רבה לבנו</w:t>
      </w:r>
      <w:r>
        <w:rPr>
          <w:rtl w:val="true"/>
        </w:rPr>
        <w:t xml:space="preserve">, </w:t>
      </w:r>
      <w:r>
        <w:rPr>
          <w:rtl w:val="true"/>
        </w:rPr>
        <w:t>וחש סיפוק וגאווה רבה בהצלחות הבן</w:t>
      </w:r>
      <w:r>
        <w:rPr>
          <w:rtl w:val="true"/>
        </w:rPr>
        <w:t xml:space="preserve">. </w:t>
      </w:r>
      <w:r>
        <w:rPr>
          <w:rtl w:val="true"/>
        </w:rPr>
        <w:t>בתקופה האחרונה</w:t>
      </w:r>
      <w:r>
        <w:rPr>
          <w:rtl w:val="true"/>
        </w:rPr>
        <w:t xml:space="preserve">, </w:t>
      </w:r>
      <w:r>
        <w:rPr>
          <w:rtl w:val="true"/>
        </w:rPr>
        <w:t>ולאחר שהבן גדל</w:t>
      </w:r>
      <w:r>
        <w:rPr>
          <w:rtl w:val="true"/>
        </w:rPr>
        <w:t xml:space="preserve">, </w:t>
      </w:r>
      <w:r>
        <w:rPr>
          <w:rtl w:val="true"/>
        </w:rPr>
        <w:t>החל במערכת יחסים חדשה ונישא בשנית</w:t>
      </w:r>
      <w:r>
        <w:rPr>
          <w:rtl w:val="true"/>
        </w:rPr>
        <w:t xml:space="preserve">. </w:t>
      </w:r>
      <w:r>
        <w:rPr>
          <w:rtl w:val="true"/>
        </w:rPr>
        <w:t>בת זוגו</w:t>
      </w:r>
      <w:r>
        <w:rPr>
          <w:rtl w:val="true"/>
        </w:rPr>
        <w:t xml:space="preserve">, </w:t>
      </w:r>
      <w:r>
        <w:rPr>
          <w:rtl w:val="true"/>
        </w:rPr>
        <w:t xml:space="preserve">בת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הנאשם תיאר קשר זוגי תקין ותומך</w:t>
      </w:r>
      <w:r>
        <w:rPr>
          <w:rtl w:val="true"/>
        </w:rPr>
        <w:t xml:space="preserve">, </w:t>
      </w:r>
      <w:r>
        <w:rPr>
          <w:rtl w:val="true"/>
        </w:rPr>
        <w:t>כיום מצפים להולדת בנם המשותף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יחסו לעבירה מעט מצמצם</w:t>
      </w:r>
      <w:r>
        <w:rPr>
          <w:rtl w:val="true"/>
        </w:rPr>
        <w:t xml:space="preserve">. </w:t>
      </w:r>
      <w:r>
        <w:rPr>
          <w:rtl w:val="true"/>
        </w:rPr>
        <w:t>הנאשם קיבל אחריות על מעשיו</w:t>
      </w:r>
      <w:r>
        <w:rPr>
          <w:rtl w:val="true"/>
        </w:rPr>
        <w:t xml:space="preserve">, </w:t>
      </w:r>
      <w:r>
        <w:rPr>
          <w:rtl w:val="true"/>
        </w:rPr>
        <w:t>אך לטענתו לא ידע על הסכסוך בין אחיו לבני</w:t>
      </w:r>
      <w:r>
        <w:rPr>
          <w:rtl w:val="true"/>
        </w:rPr>
        <w:t xml:space="preserve">, </w:t>
      </w:r>
      <w:r>
        <w:rPr>
          <w:rtl w:val="true"/>
        </w:rPr>
        <w:t>על כוונתו לפגוע בו ולא ידע שנשא אקדח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נענה לבקשת אחיו כי יסיע אותו</w:t>
      </w:r>
      <w:r>
        <w:rPr>
          <w:rtl w:val="true"/>
        </w:rPr>
        <w:t xml:space="preserve">, </w:t>
      </w:r>
      <w:r>
        <w:rPr>
          <w:rtl w:val="true"/>
        </w:rPr>
        <w:t>ורק כאשר חיכה לו ברכב שמע יריות</w:t>
      </w:r>
      <w:r>
        <w:rPr>
          <w:rtl w:val="true"/>
        </w:rPr>
        <w:t xml:space="preserve">. </w:t>
      </w:r>
      <w:r>
        <w:rPr>
          <w:rtl w:val="true"/>
        </w:rPr>
        <w:t>עוד לטענתו לא עזב את אזור הרכב</w:t>
      </w:r>
      <w:r>
        <w:rPr>
          <w:rtl w:val="true"/>
        </w:rPr>
        <w:t xml:space="preserve">, </w:t>
      </w:r>
      <w:r>
        <w:rPr>
          <w:rtl w:val="true"/>
        </w:rPr>
        <w:t>תיאר את רגעי הבהלה בהם היה שרוי לאחר הישמע היריות והכרתו בכך שהסתבך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מבין כיום כי היה עליו לדווח מיידית למשטרה</w:t>
      </w:r>
      <w:r>
        <w:rPr>
          <w:rtl w:val="true"/>
        </w:rPr>
        <w:t xml:space="preserve">, </w:t>
      </w:r>
      <w:r>
        <w:rPr>
          <w:rtl w:val="true"/>
        </w:rPr>
        <w:t>אך בזמן אמת פעל באופן הישרדותי וביקש מבני משפחתו שלא למסור מידע למשטרה מתוך תחושת אחריות שהייתה לו כלפי אחיו</w:t>
      </w:r>
      <w:r>
        <w:rPr>
          <w:rtl w:val="true"/>
        </w:rPr>
        <w:t xml:space="preserve">. </w:t>
      </w:r>
      <w:r>
        <w:rPr>
          <w:rtl w:val="true"/>
        </w:rPr>
        <w:t>הוסיף כי אינו מסוכסך עם המתלונן</w:t>
      </w:r>
      <w:r>
        <w:rPr>
          <w:rtl w:val="true"/>
        </w:rPr>
        <w:t xml:space="preserve">, </w:t>
      </w:r>
      <w:r>
        <w:rPr>
          <w:rtl w:val="true"/>
        </w:rPr>
        <w:t>השניים אף נפגשו והאחרון הביע צער בפניו על מות 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באשר להליך הטיפולי</w:t>
      </w:r>
      <w:r>
        <w:rPr>
          <w:rtl w:val="true"/>
        </w:rPr>
        <w:t xml:space="preserve">, </w:t>
      </w:r>
      <w:r>
        <w:rPr>
          <w:rtl w:val="true"/>
        </w:rPr>
        <w:t>הנאשם שולב בטיפול פרטני במסגרת פיקוח מעצרים</w:t>
      </w:r>
      <w:r>
        <w:rPr>
          <w:rtl w:val="true"/>
        </w:rPr>
        <w:t xml:space="preserve">. </w:t>
      </w:r>
      <w:r>
        <w:rPr>
          <w:rtl w:val="true"/>
        </w:rPr>
        <w:t>במהלך כל ההליך שיתף פעולה והתמיד להגיע לפגישות</w:t>
      </w:r>
      <w:r>
        <w:rPr>
          <w:rtl w:val="true"/>
        </w:rPr>
        <w:t xml:space="preserve">. </w:t>
      </w:r>
      <w:r>
        <w:rPr>
          <w:rtl w:val="true"/>
        </w:rPr>
        <w:t>בתחילת התהליך התקשה לחשוף רגשות בפני האחרים</w:t>
      </w:r>
      <w:r>
        <w:rPr>
          <w:rtl w:val="true"/>
        </w:rPr>
        <w:t xml:space="preserve">, </w:t>
      </w:r>
      <w:r>
        <w:rPr>
          <w:rtl w:val="true"/>
        </w:rPr>
        <w:t>אך ניכר כי עם התקדמות ההליך הטיפולי התחזקה יכולתו להכיר ברגשותיו ולנוע ממקום של קורבנות לעבר בחינת דפוסי התנהגותו במצבי דחק ומצוקה</w:t>
      </w:r>
      <w:r>
        <w:rPr>
          <w:rtl w:val="true"/>
        </w:rPr>
        <w:t xml:space="preserve">. </w:t>
      </w:r>
      <w:r>
        <w:rPr>
          <w:rtl w:val="true"/>
        </w:rPr>
        <w:t>הנאשם דחה את הצעת שירות המבחן להשתלב בטיפול לעיבוד הטראומה והאובדן שחווה בעקבות פטירת אחיו והביע רצון להמשיך הלאה ולהשתלב בטיפול קבוצתי בשירות המבחן לקבלת כלים להימנע ממעורבות שולית בעתיד</w:t>
      </w:r>
      <w:r>
        <w:rPr>
          <w:rtl w:val="true"/>
        </w:rPr>
        <w:t xml:space="preserve">. </w:t>
      </w:r>
      <w:r>
        <w:rPr>
          <w:rtl w:val="true"/>
        </w:rPr>
        <w:t>שירות המבחן העריך</w:t>
      </w:r>
      <w:r>
        <w:rPr>
          <w:rtl w:val="true"/>
        </w:rPr>
        <w:t xml:space="preserve">, </w:t>
      </w:r>
      <w:r>
        <w:rPr>
          <w:rtl w:val="true"/>
        </w:rPr>
        <w:t>שהמשך שילובו בטיפול יסייע לו לקבל כלים להתמודדות תקינה במצבי קונפליקט לצד עיבוד טראומות והתמודדות עם מות אחיו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התרשם שירות המבחן מנאשם בעל יכולות תפקודיות תקינות</w:t>
      </w:r>
      <w:r>
        <w:rPr>
          <w:rtl w:val="true"/>
        </w:rPr>
        <w:t xml:space="preserve">, </w:t>
      </w:r>
      <w:r>
        <w:rPr>
          <w:rtl w:val="true"/>
        </w:rPr>
        <w:t>ללא דפוסים עברייניים</w:t>
      </w:r>
      <w:r>
        <w:rPr>
          <w:rtl w:val="true"/>
        </w:rPr>
        <w:t xml:space="preserve">, </w:t>
      </w:r>
      <w:r>
        <w:rPr>
          <w:rtl w:val="true"/>
        </w:rPr>
        <w:t>שרמת הסיכון הנשקף ממנו נמוך ביותר</w:t>
      </w:r>
      <w:r>
        <w:rPr>
          <w:rtl w:val="true"/>
        </w:rPr>
        <w:t xml:space="preserve">.  </w:t>
      </w:r>
      <w:r>
        <w:rPr>
          <w:rtl w:val="true"/>
        </w:rPr>
        <w:t>עוד התרשם מסיכויי שיקום גבוהים</w:t>
      </w:r>
      <w:r>
        <w:rPr>
          <w:rtl w:val="true"/>
        </w:rPr>
        <w:t xml:space="preserve">, </w:t>
      </w:r>
      <w:r>
        <w:rPr>
          <w:rtl w:val="true"/>
        </w:rPr>
        <w:t>כיום מתמקד הנאשם במשפחתו החדשה</w:t>
      </w:r>
      <w:r>
        <w:rPr>
          <w:rtl w:val="true"/>
        </w:rPr>
        <w:t xml:space="preserve">, </w:t>
      </w:r>
      <w:r>
        <w:rPr>
          <w:rtl w:val="true"/>
        </w:rPr>
        <w:t>וברצונו לבחון דפוסי חשיבה והתנהגות שהובילוהו למעורבותו בעבירות</w:t>
      </w:r>
      <w:r>
        <w:rPr>
          <w:rtl w:val="true"/>
        </w:rPr>
        <w:t xml:space="preserve">. </w:t>
      </w:r>
      <w:r>
        <w:rPr>
          <w:rtl w:val="true"/>
        </w:rPr>
        <w:t>לאור כל האמור בא בהמלצה לענישה שיקומית הכוללת צו מבחן למשך שנה</w:t>
      </w:r>
      <w:r>
        <w:rPr>
          <w:rtl w:val="true"/>
        </w:rPr>
        <w:t xml:space="preserve">, </w:t>
      </w:r>
      <w:r>
        <w:rPr>
          <w:rtl w:val="true"/>
        </w:rPr>
        <w:t>וצו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ליטל שירי</w:t>
      </w:r>
      <w:r>
        <w:rPr>
          <w:rtl w:val="true"/>
        </w:rPr>
        <w:t xml:space="preserve">, </w:t>
      </w:r>
      <w:r>
        <w:rPr>
          <w:rtl w:val="true"/>
        </w:rPr>
        <w:t>עמדה בטיעוניה על הנסיבות החריגות בחומרתן של העבירה בה הורשע הנאשם</w:t>
      </w:r>
      <w:r>
        <w:rPr>
          <w:rtl w:val="true"/>
        </w:rPr>
        <w:t xml:space="preserve">, </w:t>
      </w:r>
      <w:r>
        <w:rPr>
          <w:rtl w:val="true"/>
        </w:rPr>
        <w:t>ועל פגיעתו בערכים המוגנים של הגנה על חיי אדם</w:t>
      </w:r>
      <w:r>
        <w:rPr>
          <w:rtl w:val="true"/>
        </w:rPr>
        <w:t xml:space="preserve">, </w:t>
      </w:r>
      <w:r>
        <w:rPr>
          <w:rtl w:val="true"/>
        </w:rPr>
        <w:t>שלום הציבור וביטחונו</w:t>
      </w:r>
      <w:r>
        <w:rPr>
          <w:rtl w:val="true"/>
        </w:rPr>
        <w:t xml:space="preserve">. </w:t>
      </w:r>
      <w:r>
        <w:rPr>
          <w:rtl w:val="true"/>
        </w:rPr>
        <w:t>עוד עמדה על פוטנציאל הנזק העצום</w:t>
      </w:r>
      <w:r>
        <w:rPr>
          <w:rtl w:val="true"/>
        </w:rPr>
        <w:t xml:space="preserve">, </w:t>
      </w:r>
      <w:r>
        <w:rPr>
          <w:rtl w:val="true"/>
        </w:rPr>
        <w:t>שהתבטא בפציעה קשה מירי בפלג גופו העליון של המתלונן ובמותו של אילן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 סייע לאחיו להגיע למפגש עם המתלונן בכדי להתעמת עמו</w:t>
      </w:r>
      <w:r>
        <w:rPr>
          <w:rtl w:val="true"/>
        </w:rPr>
        <w:t xml:space="preserve">, </w:t>
      </w:r>
      <w:r>
        <w:rPr>
          <w:rtl w:val="true"/>
        </w:rPr>
        <w:t>בעודו מודע לכך כי אחיו מצויד באקדח</w:t>
      </w:r>
      <w:r>
        <w:rPr>
          <w:rtl w:val="true"/>
        </w:rPr>
        <w:t xml:space="preserve">, </w:t>
      </w:r>
      <w:r>
        <w:rPr>
          <w:rtl w:val="true"/>
        </w:rPr>
        <w:t>יחד השניים ארבו למתלונן</w:t>
      </w:r>
      <w:r>
        <w:rPr>
          <w:rtl w:val="true"/>
        </w:rPr>
        <w:t xml:space="preserve">, </w:t>
      </w:r>
      <w:r>
        <w:rPr>
          <w:rtl w:val="true"/>
        </w:rPr>
        <w:t>ולמרות שהירי לא מיוחס לנאשם</w:t>
      </w:r>
      <w:r>
        <w:rPr>
          <w:rtl w:val="true"/>
        </w:rPr>
        <w:t xml:space="preserve">, </w:t>
      </w:r>
      <w:r>
        <w:rPr>
          <w:rtl w:val="true"/>
        </w:rPr>
        <w:t>מדובר בנסיבה לחומרה המשליכה על חומרת מעשיו</w:t>
      </w:r>
      <w:r>
        <w:rPr>
          <w:rtl w:val="true"/>
        </w:rPr>
        <w:t xml:space="preserve">. </w:t>
      </w:r>
      <w:r>
        <w:rPr>
          <w:rtl w:val="true"/>
        </w:rPr>
        <w:t>עוד ציינה לחובתו כי לאחר הירי לא דיווח הנאשם למשטרה</w:t>
      </w:r>
      <w:r>
        <w:rPr>
          <w:rtl w:val="true"/>
        </w:rPr>
        <w:t xml:space="preserve">, </w:t>
      </w:r>
      <w:r>
        <w:rPr>
          <w:rtl w:val="true"/>
        </w:rPr>
        <w:t>אלא ההפך</w:t>
      </w:r>
      <w:r>
        <w:rPr>
          <w:rtl w:val="true"/>
        </w:rPr>
        <w:t xml:space="preserve">, </w:t>
      </w:r>
      <w:r>
        <w:rPr>
          <w:rtl w:val="true"/>
        </w:rPr>
        <w:t>פעל להדחת בני משפחתו מלשתף פעולה עם המשטרה ולהקשות על עבודת החקירה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אין מדובר בעבירת סיוע לנשיאה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אלא עובדות כתב האישום החמורות משליכות על המתחם</w:t>
      </w:r>
      <w:r>
        <w:rPr>
          <w:rtl w:val="true"/>
        </w:rPr>
        <w:t xml:space="preserve">, </w:t>
      </w:r>
      <w:r>
        <w:rPr>
          <w:rtl w:val="true"/>
        </w:rPr>
        <w:t>ובהתחשב בעבירות השיבוש וההדחה</w:t>
      </w:r>
      <w:r>
        <w:rPr>
          <w:rtl w:val="true"/>
        </w:rPr>
        <w:t xml:space="preserve">, </w:t>
      </w:r>
      <w:r>
        <w:rPr>
          <w:rtl w:val="true"/>
        </w:rPr>
        <w:t xml:space="preserve">עתרה למתחם ענישה כולל הנע בין </w:t>
      </w:r>
      <w:r>
        <w:rPr/>
        <w:t>36-18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ציינה לקולה את הודאת הנאשם</w:t>
      </w:r>
      <w:r>
        <w:rPr>
          <w:rtl w:val="true"/>
        </w:rPr>
        <w:t xml:space="preserve">, </w:t>
      </w:r>
      <w:r>
        <w:rPr>
          <w:rtl w:val="true"/>
        </w:rPr>
        <w:t>היעדר עבר פלילי והטרגדיה שפקדה אותו ואת משפחתו כתוצאה מהאירוע</w:t>
      </w:r>
      <w:r>
        <w:rPr>
          <w:rtl w:val="true"/>
        </w:rPr>
        <w:t xml:space="preserve">. </w:t>
      </w:r>
      <w:r>
        <w:rPr>
          <w:rtl w:val="true"/>
        </w:rPr>
        <w:t>עוד עמדה על תסקירו</w:t>
      </w:r>
      <w:r>
        <w:rPr>
          <w:rtl w:val="true"/>
        </w:rPr>
        <w:t xml:space="preserve">, </w:t>
      </w:r>
      <w:r>
        <w:rPr>
          <w:rtl w:val="true"/>
        </w:rPr>
        <w:t>לשיטתה המלצתו הסופית תמוהה וסבורה שנובעת מרחמים ולא מדרך טיפולית שעבר</w:t>
      </w:r>
      <w:r>
        <w:rPr>
          <w:rtl w:val="true"/>
        </w:rPr>
        <w:t xml:space="preserve">. </w:t>
      </w:r>
      <w:r>
        <w:rPr>
          <w:rtl w:val="true"/>
        </w:rPr>
        <w:t>על כן לטענתה</w:t>
      </w:r>
      <w:r>
        <w:rPr>
          <w:rtl w:val="true"/>
        </w:rPr>
        <w:t xml:space="preserve">, </w:t>
      </w:r>
      <w:r>
        <w:rPr>
          <w:rtl w:val="true"/>
        </w:rPr>
        <w:t>בנסיבות האמורות ובהתחשב במורכבויות המשפחתיות הקשות עמן מתמודד</w:t>
      </w:r>
      <w:r>
        <w:rPr>
          <w:rtl w:val="true"/>
        </w:rPr>
        <w:t xml:space="preserve">, </w:t>
      </w:r>
      <w:r>
        <w:rPr>
          <w:rtl w:val="true"/>
        </w:rPr>
        <w:t>ניתן ליתן לכך ביטוי בגדרי המתחם</w:t>
      </w:r>
      <w:r>
        <w:rPr>
          <w:rtl w:val="true"/>
        </w:rPr>
        <w:t xml:space="preserve">, </w:t>
      </w:r>
      <w:r>
        <w:rPr>
          <w:rtl w:val="true"/>
        </w:rPr>
        <w:t>ולמקמו בתחתיתו</w:t>
      </w:r>
      <w:r>
        <w:rPr>
          <w:rtl w:val="true"/>
        </w:rPr>
        <w:t xml:space="preserve">, </w:t>
      </w:r>
      <w:r>
        <w:rPr>
          <w:rtl w:val="true"/>
        </w:rPr>
        <w:t>אך לא לחרוג ממנו</w:t>
      </w:r>
      <w:r>
        <w:rPr>
          <w:rtl w:val="true"/>
        </w:rPr>
        <w:t xml:space="preserve">. </w:t>
      </w:r>
      <w:r>
        <w:rPr>
          <w:rtl w:val="true"/>
        </w:rPr>
        <w:t>בנוסף עתרה לענישה נלווית וחילוט הרכב</w:t>
      </w:r>
      <w:r>
        <w:rPr>
          <w:rtl w:val="true"/>
        </w:rPr>
        <w:t xml:space="preserve">, </w:t>
      </w:r>
      <w:r>
        <w:rPr>
          <w:rtl w:val="true"/>
        </w:rPr>
        <w:t xml:space="preserve">לחלופין הפקדת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תמורתו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משה אורן</w:t>
      </w:r>
      <w:r>
        <w:rPr>
          <w:rtl w:val="true"/>
        </w:rPr>
        <w:t xml:space="preserve">, </w:t>
      </w:r>
      <w:r>
        <w:rPr>
          <w:rtl w:val="true"/>
        </w:rPr>
        <w:t>ביקש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ולחלופין להשית עליו עבודות שירות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מודה בכל המיוחס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בשונה מהכתוב בתסקיר</w:t>
      </w:r>
      <w:r>
        <w:rPr>
          <w:rtl w:val="true"/>
        </w:rPr>
        <w:t xml:space="preserve">. </w:t>
      </w:r>
      <w:r>
        <w:rPr>
          <w:rtl w:val="true"/>
        </w:rPr>
        <w:t>עוד הוסיף כי מדובר באירוע טראגי ומיוחד</w:t>
      </w:r>
      <w:r>
        <w:rPr>
          <w:rtl w:val="true"/>
        </w:rPr>
        <w:t xml:space="preserve">, </w:t>
      </w:r>
      <w:r>
        <w:rPr>
          <w:rtl w:val="true"/>
        </w:rPr>
        <w:t>וכי המאשימה לא נתנה משקל בעתירתה העונשית לנסיבותיו החריגות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היה עצור תקופה ובהמשך בתנאי איזוק</w:t>
      </w:r>
      <w:r>
        <w:rPr>
          <w:rtl w:val="true"/>
        </w:rPr>
        <w:t xml:space="preserve">, </w:t>
      </w:r>
      <w:r>
        <w:rPr>
          <w:rtl w:val="true"/>
        </w:rPr>
        <w:t>נמצא כמעט שנתיים בתנאים מגבילים</w:t>
      </w:r>
      <w:r>
        <w:rPr>
          <w:rtl w:val="true"/>
        </w:rPr>
        <w:t xml:space="preserve">. </w:t>
      </w:r>
      <w:r>
        <w:rPr>
          <w:rtl w:val="true"/>
        </w:rPr>
        <w:t>עוד טען כי הנאשם נישא לאחרונה ומצפה ללידת בנו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ומשפחתו נענשו דיים ושרויים באבל כבד</w:t>
      </w:r>
      <w:r>
        <w:rPr>
          <w:rtl w:val="true"/>
        </w:rPr>
        <w:t xml:space="preserve">. </w:t>
      </w:r>
      <w:r>
        <w:rPr>
          <w:rtl w:val="true"/>
        </w:rPr>
        <w:t>עוד עמד על הפגיעה הקשה הצפויה לבן במידה שיישלח אביו למאסר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הביע בדמעות את כאבו על מעורבותו באירוע ששינה את 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כתוצאה מהאירוע העסק שבבעלותו נפגע והוא נקלע לחובות כלכליים</w:t>
      </w:r>
      <w:r>
        <w:rPr>
          <w:rtl w:val="true"/>
        </w:rPr>
        <w:t xml:space="preserve">, </w:t>
      </w:r>
      <w:r>
        <w:rPr>
          <w:rtl w:val="true"/>
        </w:rPr>
        <w:t>בנו עבר התעללות חברתית בבית הספר</w:t>
      </w:r>
      <w:r>
        <w:rPr>
          <w:rtl w:val="true"/>
        </w:rPr>
        <w:t xml:space="preserve">, </w:t>
      </w:r>
      <w:r>
        <w:rPr>
          <w:rtl w:val="true"/>
        </w:rPr>
        <w:t>תיאר שבעבר עבד בעבודות מכובדות ורגישות בתחום הביטחוני ואילו כיום הוא אינו יכול להתקדם בחייו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 הורשע בשני אישומים שונים</w:t>
      </w:r>
      <w:r>
        <w:rPr>
          <w:rtl w:val="true"/>
        </w:rPr>
        <w:t xml:space="preserve">, </w:t>
      </w:r>
      <w:r>
        <w:rPr>
          <w:rtl w:val="true"/>
        </w:rPr>
        <w:t>אירועי האישום השני הם תולדה של האירוע המתואר באישום הראשון והתקיימו בסמוך לו</w:t>
      </w:r>
      <w:r>
        <w:rPr>
          <w:rtl w:val="true"/>
        </w:rPr>
        <w:t xml:space="preserve">. </w:t>
      </w:r>
      <w:r>
        <w:rPr>
          <w:rtl w:val="true"/>
        </w:rPr>
        <w:t xml:space="preserve">על כן עתירת המאשימה לקביעת עונש כולל לשני האישומים מקובלת עליי ומתיישבת היטב עם מדיניות הפסיקה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29.10.2014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לפניי תיק חריג בנסיבותיו</w:t>
      </w:r>
      <w:r>
        <w:rPr>
          <w:rtl w:val="true"/>
        </w:rPr>
        <w:t xml:space="preserve">, </w:t>
      </w:r>
      <w:r>
        <w:rPr>
          <w:rtl w:val="true"/>
        </w:rPr>
        <w:t>אירוע ירי אלים שיצא מכלל שליטה והסתיים באובדן חיי 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 החוליה המרכזית בביצוע העבירות</w:t>
      </w:r>
      <w:r>
        <w:rPr>
          <w:rtl w:val="true"/>
        </w:rPr>
        <w:t xml:space="preserve">, </w:t>
      </w:r>
      <w:r>
        <w:rPr>
          <w:rtl w:val="true"/>
        </w:rPr>
        <w:t>איבד את אחיו הצעיר</w:t>
      </w:r>
      <w:r>
        <w:rPr>
          <w:rtl w:val="true"/>
        </w:rPr>
        <w:t xml:space="preserve">, </w:t>
      </w:r>
      <w:r>
        <w:rPr>
          <w:rtl w:val="true"/>
        </w:rPr>
        <w:t>היורה ויוזם האירוע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רבות נכתב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חזור ושנה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חומרת עבירות הנשק אשר הפכו זה מכבר למכת מדינה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ופוגעות בערכים המוגנים של </w:t>
      </w:r>
      <w:r>
        <w:rPr>
          <w:rtl w:val="true"/>
        </w:rPr>
        <w:t>שמירה על חיי אדם</w:t>
      </w:r>
      <w:r>
        <w:rPr>
          <w:rtl w:val="true"/>
        </w:rPr>
        <w:t xml:space="preserve">, </w:t>
      </w:r>
      <w:r>
        <w:rPr>
          <w:rtl w:val="true"/>
        </w:rPr>
        <w:t>שלומם וב</w:t>
      </w:r>
      <w:r>
        <w:rPr>
          <w:rFonts w:ascii="Times New Roman" w:hAnsi="Times New Roman" w:eastAsia="Times New Roman" w:cs="Times New Roman"/>
          <w:rtl w:val="true"/>
        </w:rPr>
        <w:t>תחושת הביטחון של כלל אזרחי המדינה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tl w:val="true"/>
        </w:rPr>
        <w:t>פוטנציאל הנזק מעבירות אלו הוא גדול ממדים</w:t>
      </w:r>
      <w:r>
        <w:rPr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מגמת הפסיקה בשנים האחרונות מלמדת על החמרה בענישה לצורך מיגורן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מתן משקל כבד לשיקולי הרתעה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מגמה זו אחידה ועקבית ביחס לכלל עברייני הנשק שהורשעו בעבירות קלות כחמורות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אף כשהם נעדרי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והאירוע הוא בגדר חריג בנוף חייהם הנורמטיבי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2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Fonts w:ascii="Times New Roman" w:hAnsi="Times New Roman" w:eastAsia="Times New Roman" w:cs="Times New Roman"/>
          <w:rtl w:val="true"/>
        </w:rPr>
        <w:t>מגמה זו קיבלה ביטוי גם בחקיקה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במסגרת תיקון </w:t>
      </w:r>
      <w:r>
        <w:rPr>
          <w:rFonts w:eastAsia="Times New Roman" w:cs="Times New Roman" w:ascii="Times New Roman" w:hAnsi="Times New Roman"/>
        </w:rPr>
        <w:t>140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לחוק שנכנס לתוקף ביום </w:t>
      </w:r>
      <w:r>
        <w:rPr>
          <w:rFonts w:eastAsia="Times New Roman" w:cs="Times New Roman" w:ascii="Times New Roman" w:hAnsi="Times New Roman"/>
        </w:rPr>
        <w:t>8.12.21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בו נקבעו עונשי מינימום לעבירות נשק באשר 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באופן שככלל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העונש שיושת בגין עבירות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יפחת מרבע העונש המרבי שנקבע לעבירה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/>
        <w:ind w:hanging="360" w:start="720" w:end="0"/>
        <w:jc w:val="both"/>
        <w:rPr>
          <w:rFonts w:ascii="David" w:hAnsi="David" w:eastAsia="David" w:cs="David"/>
          <w:lang w:val="en-IL" w:eastAsia="en-IL"/>
        </w:rPr>
      </w:pP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מהלכי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סדרי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שלטון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טוהר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השיפוטי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ותקינותם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hyperlink r:id="rId22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8721/04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אוחנה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>,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21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17.6.2007</w:t>
      </w:r>
      <w:r>
        <w:rPr>
          <w:rtl w:val="true"/>
          <w:lang w:val="en-IL" w:eastAsia="en-IL"/>
        </w:rPr>
        <w:t xml:space="preserve">)).  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lang w:val="en-IL" w:eastAsia="en-IL"/>
        </w:rPr>
      </w:pPr>
      <w:r>
        <w:rPr>
          <w:rFonts w:eastAsia="Times New Roman" w:cs="Times New Roman" w:ascii="Times New Roman" w:hAnsi="Times New Roman"/>
          <w:rtl w:val="true"/>
          <w:lang w:val="en-IL" w:eastAsia="en-IL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rtl w:val="true"/>
        </w:rPr>
        <w:t xml:space="preserve">ובענייננו 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 נורמטיבי</w:t>
      </w:r>
      <w:r>
        <w:rPr>
          <w:rtl w:val="true"/>
        </w:rPr>
        <w:t xml:space="preserve">, </w:t>
      </w:r>
      <w:r>
        <w:rPr>
          <w:rtl w:val="true"/>
        </w:rPr>
        <w:t>סייע לאחיו להוציא לפועל תכנית פגיעה במתלונן</w:t>
      </w:r>
      <w:r>
        <w:rPr>
          <w:rtl w:val="true"/>
        </w:rPr>
        <w:t xml:space="preserve">. </w:t>
      </w:r>
      <w:r>
        <w:rPr>
          <w:rtl w:val="true"/>
        </w:rPr>
        <w:t>הרקע לסכסוך בין האח למתלונן אינו ידוע ואין חולק שהנאשם לא היה מעורב בו</w:t>
      </w:r>
      <w:r>
        <w:rPr>
          <w:rtl w:val="true"/>
        </w:rPr>
        <w:t xml:space="preserve">. </w:t>
      </w:r>
      <w:r>
        <w:rPr>
          <w:rtl w:val="true"/>
        </w:rPr>
        <w:t>הסיוע לאח כלל הסעתו ברכבו</w:t>
      </w:r>
      <w:r>
        <w:rPr>
          <w:rtl w:val="true"/>
        </w:rPr>
        <w:t xml:space="preserve">, </w:t>
      </w:r>
      <w:r>
        <w:rPr>
          <w:rtl w:val="true"/>
        </w:rPr>
        <w:t>כשהנאשם מודע לכך שהאח נושא אקדח טעון והמתנה למתלונן בסמוך לבית משפחתו</w:t>
      </w:r>
      <w:r>
        <w:rPr>
          <w:rtl w:val="true"/>
        </w:rPr>
        <w:t xml:space="preserve">. </w:t>
      </w:r>
      <w:r>
        <w:rPr>
          <w:rtl w:val="true"/>
        </w:rPr>
        <w:t>אף אם אניח לטובת הנאשם שלא ידע על כוונת האח לעשות שימוש באקדח</w:t>
      </w:r>
      <w:r>
        <w:rPr>
          <w:rtl w:val="true"/>
        </w:rPr>
        <w:t xml:space="preserve">, </w:t>
      </w:r>
      <w:r>
        <w:rPr>
          <w:rtl w:val="true"/>
        </w:rPr>
        <w:t>ברי כי יכול היה לצפות זאת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במהלך האירוע עצמו</w:t>
      </w:r>
      <w:r>
        <w:rPr>
          <w:rtl w:val="true"/>
        </w:rPr>
        <w:t xml:space="preserve">, </w:t>
      </w:r>
      <w:r>
        <w:rPr>
          <w:rtl w:val="true"/>
        </w:rPr>
        <w:t>לאחר שיצא האח מהרכב והחל העימות האלים בינו לבין המתלונן שכלל ירי לעבר המתלונן והכאת האח באמצעות האקדח שהביאה למותו</w:t>
      </w:r>
      <w:r>
        <w:rPr>
          <w:rtl w:val="true"/>
        </w:rPr>
        <w:t xml:space="preserve">, </w:t>
      </w:r>
      <w:r>
        <w:rPr>
          <w:rtl w:val="true"/>
        </w:rPr>
        <w:t>הנאשם לא היה מעורב</w:t>
      </w:r>
      <w:r>
        <w:rPr>
          <w:rtl w:val="true"/>
        </w:rPr>
        <w:t xml:space="preserve">. </w:t>
      </w:r>
      <w:r>
        <w:rPr>
          <w:rtl w:val="true"/>
        </w:rPr>
        <w:t>גם לאחר שהאקדח הופל</w:t>
      </w:r>
      <w:r>
        <w:rPr>
          <w:rtl w:val="true"/>
        </w:rPr>
        <w:t xml:space="preserve">, </w:t>
      </w:r>
      <w:r>
        <w:rPr>
          <w:rtl w:val="true"/>
        </w:rPr>
        <w:t>המתלונן נטלו והיכה באמצעותו את האח מכות קשות</w:t>
      </w:r>
      <w:r>
        <w:rPr>
          <w:rtl w:val="true"/>
        </w:rPr>
        <w:t xml:space="preserve">, </w:t>
      </w:r>
      <w:r>
        <w:rPr>
          <w:rtl w:val="true"/>
        </w:rPr>
        <w:t>הנאשם לא התקרב לאזור האירוע ולו כדי לסייע לאחיו</w:t>
      </w:r>
      <w:r>
        <w:rPr>
          <w:rtl w:val="true"/>
        </w:rPr>
        <w:t xml:space="preserve">. </w:t>
      </w:r>
      <w:r>
        <w:rPr>
          <w:rtl w:val="true"/>
        </w:rPr>
        <w:t>הנאשם תיאר בתסקירו את הבהלה שאחזה בו למשמע יריות</w:t>
      </w:r>
      <w:r>
        <w:rPr>
          <w:rtl w:val="true"/>
        </w:rPr>
        <w:t xml:space="preserve">, </w:t>
      </w:r>
      <w:r>
        <w:rPr>
          <w:rtl w:val="true"/>
        </w:rPr>
        <w:t>ואת פעולותיו המהירות להצלת חיי אחיו ופינויו לבית החולים</w:t>
      </w:r>
      <w:r>
        <w:rPr>
          <w:rtl w:val="true"/>
        </w:rPr>
        <w:t xml:space="preserve">, </w:t>
      </w:r>
      <w:r>
        <w:rPr>
          <w:rtl w:val="true"/>
        </w:rPr>
        <w:t>התנהלותו במהלך האירוע ובסופו מלמדת כי אכן לא היה שותף לתכנון האירוע ולא רצה לקחת בו כל חלק</w:t>
      </w:r>
      <w:r>
        <w:rPr>
          <w:rtl w:val="true"/>
        </w:rPr>
        <w:t xml:space="preserve">. </w:t>
      </w:r>
      <w:r>
        <w:rPr>
          <w:rtl w:val="true"/>
        </w:rPr>
        <w:t>חלקו התמצה בהסעת אחיו לבית המתלונן ומודעותו לכך שנשא אקדח ולהתכנות לאירוע אלים</w:t>
      </w:r>
      <w:r>
        <w:rPr>
          <w:rtl w:val="true"/>
        </w:rPr>
        <w:t xml:space="preserve">, </w:t>
      </w:r>
      <w:r>
        <w:rPr>
          <w:rtl w:val="true"/>
        </w:rPr>
        <w:t>שבו לא נטל חלק</w:t>
      </w:r>
      <w:r>
        <w:rPr>
          <w:rtl w:val="true"/>
        </w:rPr>
        <w:t xml:space="preserve">. </w:t>
      </w:r>
      <w:r>
        <w:rPr>
          <w:rtl w:val="true"/>
        </w:rPr>
        <w:t>התוצאה של האירוע היא אכן טראגית</w:t>
      </w:r>
      <w:r>
        <w:rPr>
          <w:rtl w:val="true"/>
        </w:rPr>
        <w:t xml:space="preserve">, </w:t>
      </w:r>
      <w:r>
        <w:rPr>
          <w:rtl w:val="true"/>
        </w:rPr>
        <w:t>המתלונן שנורה ונפצע בפלג גופו העליון</w:t>
      </w:r>
      <w:r>
        <w:rPr>
          <w:rtl w:val="true"/>
        </w:rPr>
        <w:t xml:space="preserve">, </w:t>
      </w:r>
      <w:r>
        <w:rPr>
          <w:rtl w:val="true"/>
        </w:rPr>
        <w:t>לא איבד עשתונות</w:t>
      </w:r>
      <w:r>
        <w:rPr>
          <w:rtl w:val="true"/>
        </w:rPr>
        <w:t xml:space="preserve">, </w:t>
      </w:r>
      <w:r>
        <w:rPr>
          <w:rtl w:val="true"/>
        </w:rPr>
        <w:t>נטל את האקדח שנפל</w:t>
      </w:r>
      <w:r>
        <w:rPr>
          <w:rtl w:val="true"/>
        </w:rPr>
        <w:t xml:space="preserve">, </w:t>
      </w:r>
      <w:r>
        <w:rPr>
          <w:rtl w:val="true"/>
        </w:rPr>
        <w:t>וכדי להגן על עצמו ולמנוע את המשך הפגיעה בו</w:t>
      </w:r>
      <w:r>
        <w:rPr>
          <w:rtl w:val="true"/>
        </w:rPr>
        <w:t xml:space="preserve">, </w:t>
      </w:r>
      <w:r>
        <w:rPr>
          <w:rtl w:val="true"/>
        </w:rPr>
        <w:t>הכה את האח בראשו וגרם למותו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tl w:val="true"/>
        </w:rPr>
        <w:t>פגיעת מעשיו של הנאשם בערכים המוגנים אינה גבוהה</w:t>
      </w:r>
      <w:r>
        <w:rPr>
          <w:rtl w:val="true"/>
        </w:rPr>
        <w:t xml:space="preserve">. </w:t>
      </w:r>
      <w:r>
        <w:rPr>
          <w:rtl w:val="true"/>
        </w:rPr>
        <w:t>בהקשר זה נתתי דעתי לחלקו היחסי של הנאשם</w:t>
      </w:r>
      <w:r>
        <w:rPr>
          <w:rtl w:val="true"/>
        </w:rPr>
        <w:t xml:space="preserve">, </w:t>
      </w:r>
      <w:r>
        <w:rPr>
          <w:rtl w:val="true"/>
        </w:rPr>
        <w:t>הימנעותו מלהתערב באירוע  האלים והאובדן הקשה מנשוא של אחיו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 לאישום השני</w:t>
      </w:r>
      <w:r>
        <w:rPr>
          <w:rtl w:val="true"/>
        </w:rPr>
        <w:t xml:space="preserve">, </w:t>
      </w:r>
      <w:r>
        <w:rPr>
          <w:rtl w:val="true"/>
        </w:rPr>
        <w:t>נסיבות מעשי הנאשם חמורות – הנאשם</w:t>
      </w:r>
      <w:r>
        <w:rPr>
          <w:rtl w:val="true"/>
        </w:rPr>
        <w:t xml:space="preserve">, </w:t>
      </w:r>
      <w:r>
        <w:rPr>
          <w:rtl w:val="true"/>
        </w:rPr>
        <w:t>שככל הנראה לא היה מודע למצבו הקשה של אחיו</w:t>
      </w:r>
      <w:r>
        <w:rPr>
          <w:rtl w:val="true"/>
        </w:rPr>
        <w:t xml:space="preserve">, </w:t>
      </w:r>
      <w:r>
        <w:rPr>
          <w:rtl w:val="true"/>
        </w:rPr>
        <w:t>פעל מיד ובסמוך לביצוע פעולות הדחה ושיבוש</w:t>
      </w:r>
      <w:r>
        <w:rPr>
          <w:rtl w:val="true"/>
        </w:rPr>
        <w:t xml:space="preserve">, </w:t>
      </w:r>
      <w:r>
        <w:rPr>
          <w:rtl w:val="true"/>
        </w:rPr>
        <w:t>מטרתן רובן הייתה לשבש את החקירה המשטרתית שנפתחה בעקבות האירוע</w:t>
      </w:r>
      <w:r>
        <w:rPr>
          <w:rtl w:val="true"/>
        </w:rPr>
        <w:t xml:space="preserve">. </w:t>
      </w:r>
      <w:r>
        <w:rPr>
          <w:rtl w:val="true"/>
        </w:rPr>
        <w:t>אניח לטובתו</w:t>
      </w:r>
      <w:r>
        <w:rPr>
          <w:rtl w:val="true"/>
        </w:rPr>
        <w:t xml:space="preserve">, </w:t>
      </w:r>
      <w:r>
        <w:rPr>
          <w:rtl w:val="true"/>
        </w:rPr>
        <w:t>שמטרת הפעולות היו לסייע לאחיו אך לא ניתן להתעלם מכך שמדובר בצבר פעולות הכוללות הוראות לבני משפחתו לא למסור מידע ולא לשתף פעולה בחקירה משטרתית והחבאת מכשיר הטלפון שלו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בפסיקה ענפה הושתו על נושאי נשק עונשי מאסר מאחורי סורג ובריח לתקופות לא קצרות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אף בעבירות שבוצעו בנסיבות ברף חומרה 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ללמדנו כי הענישה 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 העונשי הנגזר ממדיניות הענישה האמורה הוא כי שומר נפשו ושלומו – ירחק מעבירות הנשק באשר 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 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פלוני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פלוני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מסתמנת מגמת החמרה משמעותית בעבירות נשיאת נשק</w:t>
      </w:r>
      <w:r>
        <w:rPr>
          <w:rtl w:val="true"/>
        </w:rPr>
        <w:t xml:space="preserve">. </w:t>
      </w:r>
      <w:r>
        <w:rPr>
          <w:rtl w:val="true"/>
        </w:rPr>
        <w:t>במקרה זה התקבל ערעור מדינה בעניינו של 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שנשא אקדח טעון ברכב ונגזרו עליו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) </w:t>
      </w:r>
      <w:r>
        <w:rPr>
          <w:rtl w:val="true"/>
        </w:rPr>
        <w:t xml:space="preserve">קבע מתחם ענישה ראוי שנע בין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עונשו של המשיב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 למצות את הדין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 xml:space="preserve">עניין פלוני </w:t>
      </w:r>
      <w:r>
        <w:rPr>
          <w:rtl w:val="true"/>
        </w:rPr>
        <w:t>נדחה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שנשא והוביל ברכבו אקדח גלוק מוסלק</w:t>
      </w:r>
      <w:r>
        <w:rPr>
          <w:rtl w:val="true"/>
        </w:rPr>
        <w:t xml:space="preserve">, </w:t>
      </w:r>
      <w:r>
        <w:rPr>
          <w:rtl w:val="true"/>
        </w:rPr>
        <w:t>בנסיבות קשירת קשר עם אחר לביצוע עסקת נשק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36-16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930/22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 ערעור נאשם אשר זוכה מעבירת סחר באקדח ומחסנית ריקה</w:t>
      </w:r>
      <w:r>
        <w:rPr>
          <w:rtl w:val="true"/>
        </w:rPr>
        <w:t xml:space="preserve">, </w:t>
      </w:r>
      <w:r>
        <w:rPr>
          <w:rtl w:val="true"/>
        </w:rPr>
        <w:t>והורשע חלף זאת בנשיאת והובלת האקדח ברכבו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30-16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30.8.21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</w:rPr>
      </w:pPr>
      <w:r>
        <w:rPr>
          <w:rFonts w:eastAsia="David"/>
          <w:rtl w:val="true"/>
        </w:rPr>
        <w:t>ב</w:t>
      </w:r>
      <w:hyperlink r:id="rId28">
        <w:r>
          <w:rPr>
            <w:rStyle w:val="Hyperlink"/>
            <w:rFonts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/>
            <w:color w:val="0000FF"/>
            <w:u w:val="single"/>
            <w:rtl w:val="true"/>
          </w:rPr>
          <w:t>"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/>
            <w:color w:val="0000FF"/>
            <w:u w:val="single"/>
          </w:rPr>
          <w:t>4290/21</w:t>
        </w:r>
      </w:hyperlink>
      <w:r>
        <w:rPr>
          <w:rFonts w:eastAsia="David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זרבאילוב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נ</w:t>
      </w:r>
      <w:r>
        <w:rPr>
          <w:rFonts w:eastAsia="David"/>
          <w:b/>
          <w:bCs/>
          <w:rtl w:val="true"/>
        </w:rPr>
        <w:t xml:space="preserve">' </w:t>
      </w:r>
      <w:r>
        <w:rPr>
          <w:rFonts w:eastAsia="David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David"/>
          <w:rtl w:val="true"/>
        </w:rPr>
        <w:t>(</w:t>
      </w:r>
      <w:r>
        <w:rPr>
          <w:rFonts w:eastAsia="David"/>
        </w:rPr>
        <w:t>6.12.21</w:t>
      </w:r>
      <w:r>
        <w:rPr>
          <w:rFonts w:eastAsia="David"/>
          <w:rtl w:val="true"/>
        </w:rPr>
        <w:t xml:space="preserve">) </w:t>
      </w:r>
      <w:r>
        <w:rPr>
          <w:rFonts w:eastAsia="David"/>
          <w:rtl w:val="true"/>
        </w:rPr>
        <w:t>דחה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שנהג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ברכבו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בתא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אקדחים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טעונים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במחסנית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36-16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מאסר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לחובת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שהתיישנה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18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חודשים</w:t>
      </w:r>
      <w:r>
        <w:rPr>
          <w:rFonts w:eastAsia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10686-05-20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28.11.22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28-13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ind w:hanging="360" w:start="720" w:end="0"/>
        <w:jc w:val="both"/>
        <w:rPr>
          <w:rFonts w:eastAsia="David"/>
          <w:b/>
          <w:bCs/>
        </w:rPr>
      </w:pPr>
      <w:r>
        <w:rPr>
          <w:rFonts w:eastAsia="David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שעמדתי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המעשים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החריגות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חלקו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היחסי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והרשעת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נשק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כולל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14-30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David"/>
          <w:rtl w:val="true"/>
        </w:rPr>
        <w:t>.</w:t>
      </w:r>
      <w:r>
        <w:rPr>
          <w:rFonts w:eastAsia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360" w:end="0"/>
        <w:jc w:val="both"/>
        <w:rPr>
          <w:rFonts w:eastAsia="David"/>
          <w:b/>
          <w:bCs/>
        </w:rPr>
      </w:pPr>
      <w:r>
        <w:rPr>
          <w:rFonts w:eastAsia="David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 xml:space="preserve">?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קובע כך</w:t>
      </w:r>
      <w:r>
        <w:rPr>
          <w:rtl w:val="true"/>
        </w:rPr>
        <w:t>: "</w:t>
      </w:r>
      <w:r>
        <w:rPr>
          <w:b/>
          <w:b/>
          <w:bCs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 הוא לחרוג ממתחם העונש ההולם ולקבוע את עונשו של הנאשם לפי שיקולי 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להורות על נקיטת אמצעי שיקומי כלפי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לרבות העמדתו במבחן לפי סעיפים </w:t>
      </w:r>
      <w:r>
        <w:rPr>
          <w:b/>
          <w:bCs/>
        </w:rPr>
        <w:t>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86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או לפי 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המבחן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התשכ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-</w:t>
      </w:r>
      <w:r>
        <w:rPr>
          <w:b/>
          <w:bCs/>
        </w:rPr>
        <w:t>1969</w:t>
      </w:r>
      <w:r>
        <w:rPr>
          <w:rtl w:val="true"/>
        </w:rPr>
        <w:t xml:space="preserve">."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eastAsia="Times New Roman"/>
          <w:sz w:val="28"/>
          <w:szCs w:val="28"/>
        </w:rPr>
      </w:pPr>
      <w:r>
        <w:rPr>
          <w:rtl w:val="true"/>
        </w:rPr>
        <w:t xml:space="preserve">התשובה לשאלה אילו מן המקרים ייחשבו כשיקום כמשמעותו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 ואילו לאו</w:t>
      </w:r>
      <w:r>
        <w:rPr>
          <w:rtl w:val="true"/>
        </w:rPr>
        <w:t xml:space="preserve">, </w:t>
      </w:r>
      <w:r>
        <w:rPr>
          <w:rtl w:val="true"/>
        </w:rPr>
        <w:t>מורכבת ותלויה במספר פרמטרים</w:t>
      </w:r>
      <w:r>
        <w:rPr>
          <w:rtl w:val="true"/>
        </w:rPr>
        <w:t xml:space="preserve">, </w:t>
      </w:r>
      <w:r>
        <w:rPr>
          <w:rtl w:val="true"/>
        </w:rPr>
        <w:t>בין היתר חומרת העבירה</w:t>
      </w:r>
      <w:r>
        <w:rPr>
          <w:rtl w:val="true"/>
        </w:rPr>
        <w:t xml:space="preserve">, </w:t>
      </w:r>
      <w:r>
        <w:rPr>
          <w:rtl w:val="true"/>
        </w:rPr>
        <w:t>נסיבות הנאשם</w:t>
      </w:r>
      <w:r>
        <w:rPr>
          <w:rtl w:val="true"/>
        </w:rPr>
        <w:t xml:space="preserve">, </w:t>
      </w:r>
      <w:r>
        <w:rPr>
          <w:rtl w:val="true"/>
        </w:rPr>
        <w:t>טיבו של הליך השיקום והסיכון להישנות עבירות</w:t>
      </w:r>
      <w:r>
        <w:rPr>
          <w:rtl w:val="true"/>
        </w:rPr>
        <w:t xml:space="preserve">. </w:t>
      </w:r>
      <w:r>
        <w:rPr>
          <w:rtl w:val="true"/>
        </w:rPr>
        <w:t xml:space="preserve">לשון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 מלמדת</w:t>
      </w:r>
      <w:r>
        <w:rPr>
          <w:rtl w:val="true"/>
        </w:rPr>
        <w:t xml:space="preserve">, </w:t>
      </w:r>
      <w:r>
        <w:rPr>
          <w:rtl w:val="true"/>
        </w:rPr>
        <w:t xml:space="preserve">כי לעיתים כאשר </w:t>
      </w:r>
      <w:r>
        <w:rPr>
          <w:rtl w:val="true"/>
        </w:rPr>
        <w:t>"</w:t>
      </w:r>
      <w:r>
        <w:rPr>
          <w:rtl w:val="true"/>
        </w:rPr>
        <w:t>נאשם השתקם</w:t>
      </w:r>
      <w:r>
        <w:rPr>
          <w:rtl w:val="true"/>
        </w:rPr>
        <w:t xml:space="preserve">" </w:t>
      </w:r>
      <w:r>
        <w:rPr>
          <w:rtl w:val="true"/>
        </w:rPr>
        <w:t xml:space="preserve">או כי </w:t>
      </w:r>
      <w:r>
        <w:rPr>
          <w:rtl w:val="true"/>
        </w:rPr>
        <w:t>"</w:t>
      </w:r>
      <w:r>
        <w:rPr>
          <w:rtl w:val="true"/>
        </w:rPr>
        <w:t>יש סיכוי של ממש שישתקם</w:t>
      </w:r>
      <w:r>
        <w:rPr>
          <w:rtl w:val="true"/>
        </w:rPr>
        <w:t xml:space="preserve">", </w:t>
      </w:r>
      <w:r>
        <w:rPr>
          <w:rtl w:val="true"/>
        </w:rPr>
        <w:t>עשויים שיקולי השיקום לגבור על שיקולי ההרתעה והגמול</w:t>
      </w:r>
      <w:r>
        <w:rPr>
          <w:rtl w:val="true"/>
        </w:rPr>
        <w:t xml:space="preserve">. </w:t>
      </w:r>
      <w:r>
        <w:rPr>
          <w:rtl w:val="true"/>
        </w:rPr>
        <w:t xml:space="preserve">ראו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7572/12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23.10.12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די בנאשם המראה נכונות כנה להשתלב בהליך שיקום אלא יש להציג הליך משמעותי המגלה פוטנציאל שיקומי ממשי</w:t>
      </w:r>
      <w:r>
        <w:rPr>
          <w:rtl w:val="true"/>
        </w:rPr>
        <w:t xml:space="preserve">, </w:t>
      </w:r>
      <w:r>
        <w:rPr>
          <w:rtl w:val="true"/>
        </w:rPr>
        <w:t>תוך קביעה כי הסיכוי לביצוע עבירות נוספות בעתיד הוא נמוך ביותר</w:t>
      </w:r>
      <w:r>
        <w:rPr>
          <w:rtl w:val="true"/>
        </w:rPr>
        <w:t xml:space="preserve">. </w:t>
      </w:r>
      <w:r>
        <w:rPr>
          <w:rtl w:val="true"/>
        </w:rPr>
        <w:t>הפסיקה קבעה בהקשר זה</w:t>
      </w:r>
      <w:r>
        <w:rPr>
          <w:rtl w:val="true"/>
        </w:rPr>
        <w:t xml:space="preserve">, </w:t>
      </w:r>
      <w:r>
        <w:rPr>
          <w:rtl w:val="true"/>
        </w:rPr>
        <w:t>כי ניתן להתחשב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בשיקולים כגון המוטיבציה שהביע האדם המורשע להשתקם</w:t>
      </w:r>
      <w:r>
        <w:rPr>
          <w:rtl w:val="true"/>
        </w:rPr>
        <w:t xml:space="preserve">; </w:t>
      </w:r>
      <w:r>
        <w:rPr>
          <w:rtl w:val="true"/>
        </w:rPr>
        <w:t>הליכי גמילה מהתמכרות</w:t>
      </w:r>
      <w:r>
        <w:rPr>
          <w:rtl w:val="true"/>
        </w:rPr>
        <w:t xml:space="preserve">; </w:t>
      </w:r>
      <w:r>
        <w:rPr>
          <w:rtl w:val="true"/>
        </w:rPr>
        <w:t>הצלחה בהשתלבות בהליכים טיפוליים</w:t>
      </w:r>
      <w:r>
        <w:rPr>
          <w:rtl w:val="true"/>
        </w:rPr>
        <w:t xml:space="preserve">; </w:t>
      </w:r>
      <w:r>
        <w:rPr>
          <w:rtl w:val="true"/>
        </w:rPr>
        <w:t>שינוי בהתנהגות ובדרך החשיבה של האדם שהורשע</w:t>
      </w:r>
      <w:r>
        <w:rPr>
          <w:rtl w:val="true"/>
        </w:rPr>
        <w:t xml:space="preserve">; </w:t>
      </w:r>
      <w:r>
        <w:rPr>
          <w:rtl w:val="true"/>
        </w:rPr>
        <w:t xml:space="preserve">הבעת חרטה כנה והפגנת אמפתיה כלפי נפגע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קרנדל 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</w:t>
      </w:r>
      <w:r>
        <w:rPr>
          <w:bCs/>
          <w:rtl w:val="true"/>
        </w:rPr>
        <w:t>"</w:t>
      </w:r>
      <w:r>
        <w:rPr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18.04.2018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3613/17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זייבלד 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</w:t>
      </w:r>
      <w:r>
        <w:rPr>
          <w:bCs/>
          <w:rtl w:val="true"/>
        </w:rPr>
        <w:t>"</w:t>
      </w:r>
      <w:r>
        <w:rPr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17.01.2019</w:t>
      </w:r>
      <w:r>
        <w:rPr>
          <w:rtl w:val="true"/>
        </w:rPr>
        <w:t xml:space="preserve">)), </w:t>
      </w:r>
      <w:r>
        <w:rPr>
          <w:rtl w:val="true"/>
        </w:rPr>
        <w:t>כש</w:t>
      </w:r>
      <w:r>
        <w:rPr>
          <w:rFonts w:eastAsia="Times New Roman"/>
          <w:rtl w:val="true"/>
        </w:rPr>
        <w:t>לתסקיר שירות המבחן מעמד משמעותי ביותר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אם כי כמובן שאינו מחייב את בית המשפט</w:t>
      </w:r>
      <w:r>
        <w:rPr>
          <w:rFonts w:eastAsia="Times New Roman"/>
          <w:rtl w:val="true"/>
        </w:rPr>
        <w:t>.</w:t>
      </w:r>
      <w:r>
        <w:rPr>
          <w:rFonts w:eastAsia="Times New Roman"/>
          <w:sz w:val="28"/>
          <w:szCs w:val="28"/>
          <w:rtl w:val="true"/>
        </w:rPr>
        <w:t xml:space="preserve"> 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לאחר ששקלתי את כלל השיקולים ונתתי דעתי לנסיבות הנאשם והמלצת שירות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כי את המקרה שבפנינו ראוי לחריגה מטעמי שיקום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חרף נסיבות חיים קשות ומורכבות</w:t>
      </w:r>
      <w:r>
        <w:rPr>
          <w:rtl w:val="true"/>
        </w:rPr>
        <w:t xml:space="preserve">, </w:t>
      </w:r>
      <w:r>
        <w:rPr>
          <w:rtl w:val="true"/>
        </w:rPr>
        <w:t>מנהל אורח חיים תקין</w:t>
      </w:r>
      <w:r>
        <w:rPr>
          <w:rtl w:val="true"/>
        </w:rPr>
        <w:t xml:space="preserve">, </w:t>
      </w:r>
      <w:r>
        <w:rPr>
          <w:rtl w:val="true"/>
        </w:rPr>
        <w:t>עובד באופן מסודר והקדיש את עצמו לגידול בנו שננטש ע</w:t>
      </w:r>
      <w:r>
        <w:rPr>
          <w:rtl w:val="true"/>
        </w:rPr>
        <w:t>"</w:t>
      </w:r>
      <w:r>
        <w:rPr>
          <w:rtl w:val="true"/>
        </w:rPr>
        <w:t>י אמו כשהיה תינוק</w:t>
      </w:r>
      <w:r>
        <w:rPr>
          <w:rtl w:val="true"/>
        </w:rPr>
        <w:t xml:space="preserve">. </w:t>
      </w:r>
      <w:r>
        <w:rPr>
          <w:rtl w:val="true"/>
        </w:rPr>
        <w:t>הנאשם למד והוציא רישיון תיווך במקרקעין ורישיון לרכב ציבורי</w:t>
      </w:r>
      <w:r>
        <w:rPr>
          <w:rtl w:val="true"/>
        </w:rPr>
        <w:t xml:space="preserve">, </w:t>
      </w:r>
      <w:r>
        <w:rPr>
          <w:rtl w:val="true"/>
        </w:rPr>
        <w:t>בעל עסק פרטי בתחום ההסעות</w:t>
      </w:r>
      <w:r>
        <w:rPr>
          <w:rtl w:val="true"/>
        </w:rPr>
        <w:t xml:space="preserve">. </w:t>
      </w:r>
      <w:r>
        <w:rPr>
          <w:rtl w:val="true"/>
        </w:rPr>
        <w:t>במהלך התקופה האחרונה</w:t>
      </w:r>
      <w:r>
        <w:rPr>
          <w:rtl w:val="true"/>
        </w:rPr>
        <w:t xml:space="preserve">, </w:t>
      </w:r>
      <w:r>
        <w:rPr>
          <w:rtl w:val="true"/>
        </w:rPr>
        <w:t>נישא בשנית ומצפה ללידת בנו השני</w:t>
      </w:r>
      <w:r>
        <w:rPr>
          <w:rtl w:val="true"/>
        </w:rPr>
        <w:t xml:space="preserve">. </w:t>
      </w:r>
      <w:r>
        <w:rPr>
          <w:rtl w:val="true"/>
        </w:rPr>
        <w:t>נראה כי הנאשם נעדר דפוסים עברייניים</w:t>
      </w:r>
      <w:r>
        <w:rPr>
          <w:rtl w:val="true"/>
        </w:rPr>
        <w:t xml:space="preserve">, </w:t>
      </w:r>
      <w:r>
        <w:rPr>
          <w:rtl w:val="true"/>
        </w:rPr>
        <w:t>בעל יכולות תפקוד גבוהות ושירות המבחן העריך כי הסיכון שיחזור על מעשיו נמוך ביותר</w:t>
      </w:r>
      <w:r>
        <w:rPr>
          <w:rtl w:val="true"/>
        </w:rPr>
        <w:t xml:space="preserve">. </w:t>
      </w:r>
      <w:r>
        <w:rPr>
          <w:rtl w:val="true"/>
        </w:rPr>
        <w:t>נראה כי הרקע למעשיו נבע מתחושת מחויבות כלפי אחיו וחוסר מחשבה</w:t>
      </w:r>
      <w:r>
        <w:rPr>
          <w:rtl w:val="true"/>
        </w:rPr>
        <w:t xml:space="preserve">, </w:t>
      </w:r>
      <w:r>
        <w:rPr>
          <w:rtl w:val="true"/>
        </w:rPr>
        <w:t>הימנעותו מלהתערב באירוע האלים</w:t>
      </w:r>
      <w:r>
        <w:rPr>
          <w:rtl w:val="true"/>
        </w:rPr>
        <w:t xml:space="preserve">, </w:t>
      </w:r>
      <w:r>
        <w:rPr>
          <w:rtl w:val="true"/>
        </w:rPr>
        <w:t>ולו כדי לסייע לאחיו</w:t>
      </w:r>
      <w:r>
        <w:rPr>
          <w:rtl w:val="true"/>
        </w:rPr>
        <w:t xml:space="preserve">, </w:t>
      </w:r>
      <w:r>
        <w:rPr>
          <w:rtl w:val="true"/>
        </w:rPr>
        <w:t>מעידה שאינו בעל דפוסים אלימים ואינו אוחז בעמדות מקלות ראש ביחס לשימוש באלימות ובנשק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 היה עצור לראשונה בחייו כחודשיים</w:t>
      </w:r>
      <w:r>
        <w:rPr>
          <w:rtl w:val="true"/>
        </w:rPr>
        <w:t xml:space="preserve">, </w:t>
      </w:r>
      <w:r>
        <w:rPr>
          <w:rtl w:val="true"/>
        </w:rPr>
        <w:t>ושבעה חודשים נוספים בתנאי איזוק</w:t>
      </w:r>
      <w:r>
        <w:rPr>
          <w:rtl w:val="true"/>
        </w:rPr>
        <w:t xml:space="preserve">. </w:t>
      </w:r>
      <w:r>
        <w:rPr>
          <w:rtl w:val="true"/>
        </w:rPr>
        <w:t>עניינו של הנאשם מוכר לי כבר מהליך המעצר</w:t>
      </w:r>
      <w:r>
        <w:rPr>
          <w:rtl w:val="true"/>
        </w:rPr>
        <w:t xml:space="preserve">, </w:t>
      </w:r>
      <w:r>
        <w:rPr>
          <w:rtl w:val="true"/>
        </w:rPr>
        <w:t>במסגרתו שמעתי את בני משפחת הנאשם ואת בנו</w:t>
      </w:r>
      <w:r>
        <w:rPr>
          <w:rtl w:val="true"/>
        </w:rPr>
        <w:t xml:space="preserve">, </w:t>
      </w:r>
      <w:r>
        <w:rPr>
          <w:rtl w:val="true"/>
        </w:rPr>
        <w:t>והתרשמתי מנכונותם לסייע לו ולתמוך בו</w:t>
      </w:r>
      <w:r>
        <w:rPr>
          <w:rtl w:val="true"/>
        </w:rPr>
        <w:t xml:space="preserve">. </w:t>
      </w:r>
      <w:r>
        <w:rPr>
          <w:rtl w:val="true"/>
        </w:rPr>
        <w:t>במסגרת צו פיקוח מעצרים</w:t>
      </w:r>
      <w:r>
        <w:rPr>
          <w:rtl w:val="true"/>
        </w:rPr>
        <w:t xml:space="preserve">, </w:t>
      </w:r>
      <w:r>
        <w:rPr>
          <w:rtl w:val="true"/>
        </w:rPr>
        <w:t>עבר הנאשם הליך טיפולי שכלל פגישות פרטניות בשירות המבחן</w:t>
      </w:r>
      <w:r>
        <w:rPr>
          <w:rtl w:val="true"/>
        </w:rPr>
        <w:t xml:space="preserve">. </w:t>
      </w:r>
      <w:r>
        <w:rPr>
          <w:rtl w:val="true"/>
        </w:rPr>
        <w:t>תחילה התקשה לחשוף את רגשותיו אך בהמשך ההליך</w:t>
      </w:r>
      <w:r>
        <w:rPr>
          <w:rtl w:val="true"/>
        </w:rPr>
        <w:t xml:space="preserve">, </w:t>
      </w:r>
      <w:r>
        <w:rPr>
          <w:rtl w:val="true"/>
        </w:rPr>
        <w:t>החל בתהליך של התבוננות פנימית עמוקה והביע רצון לרכוש כלים להתמודדות עם מצבי מצוקה ולחץ</w:t>
      </w:r>
      <w:r>
        <w:rPr>
          <w:rtl w:val="true"/>
        </w:rPr>
        <w:t xml:space="preserve">.  </w:t>
      </w:r>
      <w:r>
        <w:rPr>
          <w:rtl w:val="true"/>
        </w:rPr>
        <w:t>אמנם אין מדובר בהליך טיפולי ארוך טווח אך אזקוף לזכות הנאשם את שיתוף הפעולה המלא</w:t>
      </w:r>
      <w:r>
        <w:rPr>
          <w:rtl w:val="true"/>
        </w:rPr>
        <w:t xml:space="preserve">, </w:t>
      </w:r>
      <w:r>
        <w:rPr>
          <w:rtl w:val="true"/>
        </w:rPr>
        <w:t>המוטיבציה הטיפולית שמביע ונכונותו להמשיך בטיפול ואת הערכת שירות המבחן כי הנאשם בעל פוטנציאל גבוה לשיקום</w:t>
      </w:r>
      <w:r>
        <w:rPr>
          <w:rtl w:val="true"/>
        </w:rPr>
        <w:t xml:space="preserve">. </w:t>
      </w:r>
      <w:r>
        <w:rPr>
          <w:rtl w:val="true"/>
        </w:rPr>
        <w:t>לכך אוסיף את ההשלכות הקשות של אובדן אחיו</w:t>
      </w:r>
      <w:r>
        <w:rPr>
          <w:rtl w:val="true"/>
        </w:rPr>
        <w:t xml:space="preserve">, </w:t>
      </w:r>
      <w:r>
        <w:rPr>
          <w:rtl w:val="true"/>
        </w:rPr>
        <w:t>תחושות האשם והטראומה הקשה שחווה</w:t>
      </w:r>
      <w:r>
        <w:rPr>
          <w:rtl w:val="true"/>
        </w:rPr>
        <w:t xml:space="preserve">, </w:t>
      </w:r>
      <w:r>
        <w:rPr>
          <w:rtl w:val="true"/>
        </w:rPr>
        <w:t>שלהם אפקט מטלטל ומרתיע המפחית הפחתה נוספת את הסיכון שיסתבך בעתיד בשנית בביצוע עבירות נשק ואלימות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יש בכל אלו כדי להוות בסיס נאות לסטייה מרף הענישה שנקבע מכח </w:t>
      </w:r>
      <w:hyperlink r:id="rId3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חריגה לשיקום בעבירות נשק עד כדי המנעות ממאסר ממש חריגה ואפשרית במקרים יוצאי דופן</w:t>
      </w:r>
      <w:r>
        <w:rPr>
          <w:rtl w:val="true"/>
        </w:rPr>
        <w:t xml:space="preserve">, </w:t>
      </w:r>
      <w:r>
        <w:rPr>
          <w:rtl w:val="true"/>
        </w:rPr>
        <w:t>בעיקר כאלו הכוללים סיכויי שיקום גבוהים לצד נסיבות אישיות מיוחדות</w:t>
      </w:r>
      <w:r>
        <w:rPr>
          <w:rtl w:val="true"/>
        </w:rPr>
        <w:t xml:space="preserve">, </w:t>
      </w:r>
      <w:r>
        <w:rPr>
          <w:rtl w:val="true"/>
        </w:rPr>
        <w:t>כמו זה שבפנינו</w:t>
      </w:r>
      <w:r>
        <w:rPr>
          <w:color w:val="000000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) </w:t>
      </w:r>
      <w:r>
        <w:rPr>
          <w:rtl w:val="true"/>
        </w:rPr>
        <w:t>התקבל ערעורו של מערער</w:t>
      </w:r>
      <w:r>
        <w:rPr>
          <w:rtl w:val="true"/>
        </w:rPr>
        <w:t xml:space="preserve">, </w:t>
      </w:r>
      <w:r>
        <w:rPr>
          <w:rtl w:val="true"/>
        </w:rPr>
        <w:t>צעיר נורמטיבי</w:t>
      </w:r>
      <w:r>
        <w:rPr>
          <w:rtl w:val="true"/>
        </w:rPr>
        <w:t xml:space="preserve">, </w:t>
      </w:r>
      <w:r>
        <w:rPr>
          <w:rtl w:val="true"/>
        </w:rPr>
        <w:t>שהורשע בהחזקת נשק התקפי ומחסנית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השית עליו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עמד על נתוניו הטובים</w:t>
      </w:r>
      <w:r>
        <w:rPr>
          <w:rtl w:val="true"/>
        </w:rPr>
        <w:t xml:space="preserve">, </w:t>
      </w:r>
      <w:r>
        <w:rPr>
          <w:rtl w:val="true"/>
        </w:rPr>
        <w:t>שיתוף הפעולה עם גורמי המשטרה בחקירתו</w:t>
      </w:r>
      <w:r>
        <w:rPr>
          <w:rtl w:val="true"/>
        </w:rPr>
        <w:t xml:space="preserve">, </w:t>
      </w:r>
      <w:r>
        <w:rPr>
          <w:rtl w:val="true"/>
        </w:rPr>
        <w:t xml:space="preserve">תסקירו החיובי שהעיד על היעדר דפוסים עברייניים מושרשים והשתתפותו בקבוצה טיפולית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. </w:t>
      </w:r>
      <w:r>
        <w:rPr>
          <w:rtl w:val="true"/>
        </w:rPr>
        <w:t>עונשו הופחת לתשעה חודשי עבודות שירות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16.2.23</w:t>
      </w:r>
      <w:r>
        <w:rPr>
          <w:rtl w:val="true"/>
        </w:rPr>
        <w:t xml:space="preserve">), </w:t>
      </w:r>
      <w:r>
        <w:rPr>
          <w:rtl w:val="true"/>
        </w:rPr>
        <w:t>קיבל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נקבע על בסיס נסיבותיו האישיות הייחודיות של המערער והליך טיפולי שעבר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במקרה </w:t>
      </w:r>
      <w:r>
        <w:rPr>
          <w:rtl w:val="true"/>
        </w:rPr>
        <w:t>"</w:t>
      </w:r>
      <w:r>
        <w:rPr>
          <w:rtl w:val="true"/>
        </w:rPr>
        <w:t>מאוד מיוחד</w:t>
      </w:r>
      <w:r>
        <w:rPr>
          <w:rtl w:val="true"/>
        </w:rPr>
        <w:t xml:space="preserve">" </w:t>
      </w:r>
      <w:r>
        <w:rPr>
          <w:rtl w:val="true"/>
        </w:rPr>
        <w:t>המצדיק הקלה בעונש</w:t>
      </w:r>
      <w:r>
        <w:rPr>
          <w:rtl w:val="true"/>
        </w:rPr>
        <w:t xml:space="preserve">, </w:t>
      </w:r>
      <w:r>
        <w:rPr>
          <w:rtl w:val="true"/>
        </w:rPr>
        <w:t>והעמידו על תשעה חודשי עבודות שירות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30.12.2020</w:t>
      </w:r>
      <w:r>
        <w:rPr>
          <w:rtl w:val="true"/>
        </w:rPr>
        <w:t xml:space="preserve">) </w:t>
      </w:r>
      <w:r>
        <w:rPr>
          <w:rtl w:val="true"/>
        </w:rPr>
        <w:t>התקבל ערעורו של נאשם בעבירה של נשיאת נשק והובלתו שנדון לשנת מאסר</w:t>
      </w:r>
      <w:r>
        <w:rPr>
          <w:rtl w:val="true"/>
        </w:rPr>
        <w:t xml:space="preserve">.  </w:t>
      </w:r>
      <w:r>
        <w:rPr>
          <w:rtl w:val="true"/>
        </w:rPr>
        <w:t xml:space="preserve">בית המשפט העליון מצא את נסיבותיו האישיות </w:t>
      </w:r>
      <w:r>
        <w:rPr>
          <w:rtl w:val="true"/>
        </w:rPr>
        <w:t>(</w:t>
      </w:r>
      <w:r>
        <w:rPr>
          <w:rtl w:val="true"/>
        </w:rPr>
        <w:t>עבר נקי</w:t>
      </w:r>
      <w:r>
        <w:rPr>
          <w:rtl w:val="true"/>
        </w:rPr>
        <w:t xml:space="preserve">, </w:t>
      </w:r>
      <w:r>
        <w:rPr>
          <w:rtl w:val="true"/>
        </w:rPr>
        <w:t>פוסט טראומה עקב פציעה במהלך שירותו הצבאי והמלצת שירות המבחן</w:t>
      </w:r>
      <w:r>
        <w:rPr>
          <w:rtl w:val="true"/>
        </w:rPr>
        <w:t xml:space="preserve">) </w:t>
      </w:r>
      <w:r>
        <w:rPr>
          <w:rtl w:val="true"/>
        </w:rPr>
        <w:t>ככזה המלמד על מקרה חריג שבחריגים המצדיק לאמץ את המלצת שירות המבחן ועונשו הופחת לתשעה חודשי עבודות שירות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21.9.2020</w:t>
      </w:r>
      <w:r>
        <w:rPr>
          <w:rtl w:val="true"/>
        </w:rPr>
        <w:t xml:space="preserve">) </w:t>
      </w:r>
      <w:r>
        <w:rPr>
          <w:rtl w:val="true"/>
        </w:rPr>
        <w:t>התקבל ערעורו של נאשם שהורשע בהחזקת אקדח טעון</w:t>
      </w:r>
      <w:r>
        <w:rPr>
          <w:rtl w:val="true"/>
        </w:rPr>
        <w:t xml:space="preserve">. </w:t>
      </w:r>
      <w:r>
        <w:rPr>
          <w:rtl w:val="true"/>
        </w:rPr>
        <w:t xml:space="preserve">צעיר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עברו נקי</w:t>
      </w:r>
      <w:r>
        <w:rPr>
          <w:rtl w:val="true"/>
        </w:rPr>
        <w:t xml:space="preserve">, </w:t>
      </w:r>
      <w:r>
        <w:rPr>
          <w:rtl w:val="true"/>
        </w:rPr>
        <w:t>מסוכנותו הוערכה כנמוכה</w:t>
      </w:r>
      <w:r>
        <w:rPr>
          <w:rtl w:val="true"/>
        </w:rPr>
        <w:t xml:space="preserve">, </w:t>
      </w:r>
      <w:r>
        <w:rPr>
          <w:rtl w:val="true"/>
        </w:rPr>
        <w:t>עונשו הוקל לתשעה חודשי עבודות שירות חלף עשרה חודשי מאסר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מרעאנה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1.9.2019</w:t>
      </w:r>
      <w:r>
        <w:rPr>
          <w:rtl w:val="true"/>
        </w:rPr>
        <w:t xml:space="preserve">) </w:t>
      </w:r>
      <w:r>
        <w:rPr>
          <w:rtl w:val="true"/>
        </w:rPr>
        <w:t>הלך שוב בית המשפט העליון כברת דרך לקראת נאשם שהורשע בהחזקת אקדח ומחסנית ריקה בביתו ונדון לעשרה חודשי מאסר</w:t>
      </w:r>
      <w:r>
        <w:rPr>
          <w:rtl w:val="true"/>
        </w:rPr>
        <w:t xml:space="preserve">, </w:t>
      </w:r>
      <w:r>
        <w:rPr>
          <w:rtl w:val="true"/>
        </w:rPr>
        <w:t>הקל בעונשו והסתפק בתשעה חודשי עבודות שירות</w:t>
      </w:r>
      <w:r>
        <w:rPr>
          <w:rtl w:val="true"/>
        </w:rPr>
        <w:t xml:space="preserve">. </w:t>
      </w:r>
      <w:r>
        <w:rPr>
          <w:rtl w:val="true"/>
        </w:rPr>
        <w:t>גם בעניינו של נאשם זה נקבעו נסיבות מיוחדות</w:t>
      </w:r>
      <w:r>
        <w:rPr>
          <w:rtl w:val="true"/>
        </w:rPr>
        <w:t xml:space="preserve">, </w:t>
      </w:r>
      <w:r>
        <w:rPr>
          <w:rtl w:val="true"/>
        </w:rPr>
        <w:t>כשמעבר לנתוניו החיוביים והמלצת שירות המבחן</w:t>
      </w:r>
      <w:r>
        <w:rPr>
          <w:rtl w:val="true"/>
        </w:rPr>
        <w:t xml:space="preserve">, </w:t>
      </w:r>
      <w:r>
        <w:rPr>
          <w:rtl w:val="true"/>
        </w:rPr>
        <w:t>ניתן משקל למחיר אישי כבד ששילם בגין שיתוף פעולה עם רשויות החוק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52256-03-20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יאן אזברגה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12.4.22</w:t>
      </w:r>
      <w:r>
        <w:rPr>
          <w:rtl w:val="true"/>
        </w:rPr>
        <w:t xml:space="preserve">) </w:t>
      </w:r>
      <w:r>
        <w:rPr>
          <w:spacing w:val="10"/>
          <w:sz w:val="20"/>
          <w:sz w:val="20"/>
          <w:shd w:fill="FFFFFF" w:val="clear"/>
          <w:rtl w:val="true"/>
        </w:rPr>
        <w:t xml:space="preserve">הורשע נאשם בהחזקת אקדח ומחסנית </w:t>
      </w:r>
      <w:r>
        <w:rPr>
          <w:rtl w:val="true"/>
        </w:rPr>
        <w:t>ריקה ברכבו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טיעון הוסכם שהמאשימה תעתור לעונש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24-10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בית המשפט גזר עונשו לתשעה חודשי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בגילו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), </w:t>
      </w:r>
      <w:r>
        <w:rPr>
          <w:rtl w:val="true"/>
        </w:rPr>
        <w:t>היעדר עבר</w:t>
      </w:r>
      <w:r>
        <w:rPr>
          <w:rtl w:val="true"/>
        </w:rPr>
        <w:t xml:space="preserve">, </w:t>
      </w:r>
      <w:r>
        <w:rPr>
          <w:rtl w:val="true"/>
        </w:rPr>
        <w:t>מסוכנות שהוערכה כנמוכה והמלצה חיובית של שירות מבחן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אשר 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שבחנתי את נסיבות האירוע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נתוני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 הפסיקה הנוהגת לרבות במקרי 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כי מדובר במקרה חריג ויוצא דופן המאפשר חריגה ממתחם העונש לצרכי שיקום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והימנעות ממאסר ממש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המלצת שירות המבחן להסתפק בצו של</w:t>
      </w:r>
      <w:r>
        <w:rPr>
          <w:rtl w:val="true"/>
        </w:rPr>
        <w:t>"</w:t>
      </w:r>
      <w:r>
        <w:rPr>
          <w:rtl w:val="true"/>
        </w:rPr>
        <w:t>צ אינה מידתית ואינה מתיישבת עם מדיניות הפסיקה גם במקרי שיקום מובהקים</w:t>
      </w:r>
      <w:r>
        <w:rPr>
          <w:rtl w:val="true"/>
        </w:rPr>
        <w:t xml:space="preserve">. </w:t>
      </w:r>
      <w:r>
        <w:rPr>
          <w:rtl w:val="true"/>
        </w:rPr>
        <w:t>טוב עשה ב</w:t>
      </w:r>
      <w:r>
        <w:rPr>
          <w:rtl w:val="true"/>
        </w:rPr>
        <w:t>"</w:t>
      </w:r>
      <w:r>
        <w:rPr>
          <w:rtl w:val="true"/>
        </w:rPr>
        <w:t>כ הנאשם כאשר עתר</w:t>
      </w:r>
      <w:r>
        <w:rPr>
          <w:rtl w:val="true"/>
        </w:rPr>
        <w:t xml:space="preserve">,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למאסר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נתתי דעתי גם לפגיעה האפשרית בפרנסת הנאשם ומשפחתו אך אין בשיקול זה לבדו כדי להביא להקלה נוספת בעונשו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נוכח נסיבותיו הייחודיות של המקרה שבפניי</w:t>
      </w:r>
      <w:r>
        <w:rPr>
          <w:rtl w:val="true"/>
        </w:rPr>
        <w:t xml:space="preserve">, </w:t>
      </w:r>
      <w:r>
        <w:rPr>
          <w:rtl w:val="true"/>
        </w:rPr>
        <w:t>מצאתי לגזור על הנאשם ענישה שיקומית בדמות תשעה חודשי מאסר בדרך של עבודות שירות לצד צו מבחן</w:t>
      </w:r>
      <w:r>
        <w:rPr>
          <w:rtl w:val="true"/>
        </w:rPr>
        <w:t xml:space="preserve">. </w:t>
      </w:r>
      <w:r>
        <w:rPr>
          <w:rtl w:val="true"/>
        </w:rPr>
        <w:t>עוד מצאתי נוכח טעמיו המיוחדים של המקרה</w:t>
      </w:r>
      <w:r>
        <w:rPr>
          <w:rtl w:val="true"/>
        </w:rPr>
        <w:t xml:space="preserve">, </w:t>
      </w:r>
      <w:r>
        <w:rPr>
          <w:rtl w:val="true"/>
        </w:rPr>
        <w:t xml:space="preserve">לחרוג מהוראת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ולהשית על הנאשם עונש מאסר החורג לקולא מעונש המינימום</w:t>
      </w:r>
      <w:r>
        <w:rPr>
          <w:rtl w:val="true"/>
        </w:rPr>
        <w:t xml:space="preserve">, </w:t>
      </w:r>
      <w:r>
        <w:rPr>
          <w:rtl w:val="true"/>
        </w:rPr>
        <w:t>חלקו בדרך של ענישה צופה פני עתיד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אני גוזרת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 הנאשם את העונשים הבאים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שירוצו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במקום העבודה בית אבות </w:t>
      </w:r>
      <w:r>
        <w:rPr>
          <w:rtl w:val="true"/>
        </w:rPr>
        <w:t>"</w:t>
      </w:r>
      <w:r>
        <w:rPr>
          <w:rtl w:val="true"/>
        </w:rPr>
        <w:t xml:space="preserve">עד </w:t>
      </w:r>
      <w:r>
        <w:rPr/>
        <w:t>120</w:t>
      </w:r>
      <w:r>
        <w:rPr>
          <w:rtl w:val="true"/>
        </w:rPr>
        <w:t xml:space="preserve">" </w:t>
      </w:r>
      <w:r>
        <w:rPr>
          <w:rtl w:val="true"/>
        </w:rPr>
        <w:t xml:space="preserve">בכתובת רחוב נוב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הנאשם יבצע את העבודות בימים 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 xml:space="preserve">בהיקף של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שעות עבודה יומיות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על הנאשם להתייצב לקליטה והצבה ביום </w:t>
      </w:r>
      <w:r>
        <w:rPr/>
        <w:t>7.9.23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 הממונה בכתובת לוחמי בית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 מוזהר כי אם לא ישתף פעולה עם הממונה ניתן להמיר את העבודות במאסר ממש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עבירת נשק מסוג פשע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עבירות שיבוש מהלכי משפט או הדחה בחקירה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צו מבחן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החל מהיום</w:t>
      </w:r>
      <w:r>
        <w:rPr>
          <w:rtl w:val="true"/>
        </w:rPr>
        <w:t xml:space="preserve">. </w:t>
      </w:r>
      <w:r>
        <w:rPr>
          <w:rtl w:val="true"/>
        </w:rPr>
        <w:t>הנאשם מוזהר בחובת שיתוף פעולה וכי אם לא יעשה כן</w:t>
      </w:r>
      <w:r>
        <w:rPr>
          <w:rtl w:val="true"/>
        </w:rPr>
        <w:t xml:space="preserve">, </w:t>
      </w:r>
      <w:r>
        <w:rPr>
          <w:rtl w:val="true"/>
        </w:rPr>
        <w:t>ניתן יהיה לבטל את הצו ולגזור עליו עונש אחר תחתיו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קנס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עד ליום </w:t>
      </w:r>
      <w:r>
        <w:rPr/>
        <w:t>15.10.23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פיצוי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שישולם עד יום </w:t>
      </w:r>
      <w:r>
        <w:rPr/>
        <w:t>20.9.23</w:t>
      </w:r>
      <w:r>
        <w:rPr>
          <w:rtl w:val="true"/>
        </w:rPr>
        <w:t xml:space="preserve">. </w:t>
      </w:r>
      <w:r>
        <w:rPr>
          <w:rtl w:val="true"/>
        </w:rPr>
        <w:t>הפיצוי יועבר למתלונן על פי פרטים שתמסור המאשימה למזכירות בית המשפט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רכב מסוג מזדה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88-844-54</w:t>
      </w:r>
      <w:r>
        <w:rPr>
          <w:rtl w:val="true"/>
        </w:rPr>
        <w:t xml:space="preserve"> </w:t>
      </w:r>
      <w:r>
        <w:rPr>
          <w:rtl w:val="true"/>
        </w:rPr>
        <w:t xml:space="preserve">יושב לנאשם בכפוף להפקדת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במזכירות בית המשפט</w:t>
      </w:r>
      <w:r>
        <w:rPr>
          <w:rtl w:val="true"/>
        </w:rPr>
        <w:t xml:space="preserve">.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הופקדו בהליך </w:t>
      </w:r>
      <w:hyperlink r:id="rId45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30641-02-22</w:t>
        </w:r>
      </w:hyperlink>
      <w:r>
        <w:rPr>
          <w:rtl w:val="true"/>
        </w:rPr>
        <w:t xml:space="preserve"> </w:t>
      </w:r>
      <w:r>
        <w:rPr>
          <w:rtl w:val="true"/>
        </w:rPr>
        <w:t>ויחולטו לטובת המדינה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b/>
          <w:bCs/>
          <w:color w:val="FFFFFF"/>
          <w:spacing w:val="0"/>
          <w:sz w:val="2"/>
          <w:szCs w:val="2"/>
        </w:rPr>
        <w:t>5129371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4"/>
          <w:szCs w:val="24"/>
        </w:rPr>
      </w:pPr>
      <w:r>
        <w:rPr>
          <w:rFonts w:cs="David" w:ascii="Times New Roman" w:hAnsi="Times New Roman"/>
          <w:color w:val="FFFFFF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30617-02-22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ארנסט זכרוב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45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245" TargetMode="External"/><Relationship Id="rId15" Type="http://schemas.openxmlformats.org/officeDocument/2006/relationships/hyperlink" Target="http://www.nevo.co.il/case/13093721" TargetMode="External"/><Relationship Id="rId16" Type="http://schemas.openxmlformats.org/officeDocument/2006/relationships/hyperlink" Target="http://www.nevo.co.il/case/27894608" TargetMode="External"/><Relationship Id="rId17" Type="http://schemas.openxmlformats.org/officeDocument/2006/relationships/hyperlink" Target="http://www.nevo.co.il/case/27911638" TargetMode="External"/><Relationship Id="rId18" Type="http://schemas.openxmlformats.org/officeDocument/2006/relationships/hyperlink" Target="http://www.nevo.co.il/case/28152132" TargetMode="External"/><Relationship Id="rId19" Type="http://schemas.openxmlformats.org/officeDocument/2006/relationships/hyperlink" Target="http://www.nevo.co.il/case/28452933" TargetMode="External"/><Relationship Id="rId20" Type="http://schemas.openxmlformats.org/officeDocument/2006/relationships/hyperlink" Target="http://www.nevo.co.il/case/27305799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case/6022483" TargetMode="External"/><Relationship Id="rId23" Type="http://schemas.openxmlformats.org/officeDocument/2006/relationships/hyperlink" Target="http://www.nevo.co.il/case/27305799" TargetMode="External"/><Relationship Id="rId24" Type="http://schemas.openxmlformats.org/officeDocument/2006/relationships/hyperlink" Target="http://www.nevo.co.il/case/28883087" TargetMode="External"/><Relationship Id="rId25" Type="http://schemas.openxmlformats.org/officeDocument/2006/relationships/hyperlink" Target="http://www.nevo.co.il/case/28300349" TargetMode="External"/><Relationship Id="rId26" Type="http://schemas.openxmlformats.org/officeDocument/2006/relationships/hyperlink" Target="http://www.nevo.co.il/case/27494821" TargetMode="External"/><Relationship Id="rId27" Type="http://schemas.openxmlformats.org/officeDocument/2006/relationships/hyperlink" Target="http://www.nevo.co.il/case/28380863" TargetMode="External"/><Relationship Id="rId28" Type="http://schemas.openxmlformats.org/officeDocument/2006/relationships/hyperlink" Target="http://www.nevo.co.il/case/27716369" TargetMode="External"/><Relationship Id="rId29" Type="http://schemas.openxmlformats.org/officeDocument/2006/relationships/hyperlink" Target="http://www.nevo.co.il/case/26645989" TargetMode="External"/><Relationship Id="rId30" Type="http://schemas.openxmlformats.org/officeDocument/2006/relationships/hyperlink" Target="http://www.nevo.co.il/law/70301/40d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1553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law/70301/40d" TargetMode="External"/><Relationship Id="rId35" Type="http://schemas.openxmlformats.org/officeDocument/2006/relationships/hyperlink" Target="http://www.nevo.co.il/case/5601732" TargetMode="External"/><Relationship Id="rId36" Type="http://schemas.openxmlformats.org/officeDocument/2006/relationships/hyperlink" Target="http://www.nevo.co.il/case/22938500" TargetMode="External"/><Relationship Id="rId37" Type="http://schemas.openxmlformats.org/officeDocument/2006/relationships/hyperlink" Target="http://www.nevo.co.il/case/22578451" TargetMode="External"/><Relationship Id="rId38" Type="http://schemas.openxmlformats.org/officeDocument/2006/relationships/hyperlink" Target="http://www.nevo.co.il/law/70301/40d.a" TargetMode="External"/><Relationship Id="rId39" Type="http://schemas.openxmlformats.org/officeDocument/2006/relationships/hyperlink" Target="http://www.nevo.co.il/case/27721185" TargetMode="External"/><Relationship Id="rId40" Type="http://schemas.openxmlformats.org/officeDocument/2006/relationships/hyperlink" Target="http://www.nevo.co.il/case/28963593" TargetMode="External"/><Relationship Id="rId41" Type="http://schemas.openxmlformats.org/officeDocument/2006/relationships/hyperlink" Target="http://www.nevo.co.il/case/26934681" TargetMode="External"/><Relationship Id="rId42" Type="http://schemas.openxmlformats.org/officeDocument/2006/relationships/hyperlink" Target="http://www.nevo.co.il/case/26418313" TargetMode="External"/><Relationship Id="rId43" Type="http://schemas.openxmlformats.org/officeDocument/2006/relationships/hyperlink" Target="http://www.nevo.co.il/case/25637368" TargetMode="External"/><Relationship Id="rId44" Type="http://schemas.openxmlformats.org/officeDocument/2006/relationships/hyperlink" Target="http://www.nevo.co.il/case/26568237" TargetMode="External"/><Relationship Id="rId45" Type="http://schemas.openxmlformats.org/officeDocument/2006/relationships/hyperlink" Target="http://www.nevo.co.il/case/28315246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2024-08-26T13:54:00Z</dcterms:created>
  <dc:creator> </dc:creator>
  <dc:description/>
  <cp:keywords/>
  <dc:language>en-IL</dc:language>
  <cp:lastModifiedBy>h1</cp:lastModifiedBy>
  <dcterms:modified xsi:type="dcterms:W3CDTF">2024-08-26T13:54:00Z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ארנסט זכרוב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13093721;27894608;27911638;28152132;28452933;27305799:2;5568354;6022483;28883087;28300349;27494821;28380863;27716369;26645989;5601732;22938500;22578451;27721185;28963593;26934681;26418313;25637368;26568237;28315246</vt:lpwstr>
  </property>
  <property fmtid="{D5CDD505-2E9C-101B-9397-08002B2CF9AE}" pid="9" name="CITY">
    <vt:lpwstr>מרכז</vt:lpwstr>
  </property>
  <property fmtid="{D5CDD505-2E9C-101B-9397-08002B2CF9AE}" pid="10" name="DATE">
    <vt:lpwstr>20230808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70301/144.b;031;244;245;040d.a:2;040d:2</vt:lpwstr>
  </property>
  <property fmtid="{D5CDD505-2E9C-101B-9397-08002B2CF9AE}" pid="15" name="LAWLISTTMP2">
    <vt:lpwstr>71553</vt:lpwstr>
  </property>
  <property fmtid="{D5CDD505-2E9C-101B-9397-08002B2CF9AE}" pid="16" name="LAWYER">
    <vt:lpwstr>שירה מוהר;משה אורן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30617</vt:lpwstr>
  </property>
  <property fmtid="{D5CDD505-2E9C-101B-9397-08002B2CF9AE}" pid="23" name="NEWPARTB">
    <vt:lpwstr>02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390020230808</vt:lpwstr>
  </property>
  <property fmtid="{D5CDD505-2E9C-101B-9397-08002B2CF9AE}" pid="35" name="TYPE_N_DATE">
    <vt:lpwstr>39020230808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