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30671-07-19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חרנ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נטליה אוסטרובסקי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ניקולאי חרנ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איתי בן נון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הדר דנציג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רוזנברג ודנה פוגץ</w:t>
        </w:r>
        <w:r>
          <w:rPr>
            <w:rStyle w:val="Hyperlink"/>
            <w:rFonts w:cs="FrankRuehl" w:ascii="FrankRuehl" w:hAnsi="FrankRuehl"/>
            <w:rtl w:val="true"/>
          </w:rPr>
          <w:t>', ""</w:t>
        </w:r>
        <w:r>
          <w:rPr>
            <w:rStyle w:val="Hyperlink"/>
            <w:rFonts w:ascii="FrankRuehl" w:hAnsi="FrankRuehl" w:cs="FrankRuehl"/>
            <w:rtl w:val="true"/>
          </w:rPr>
          <w:t>כשאהבה כואבת</w:t>
        </w:r>
        <w:r>
          <w:rPr>
            <w:rStyle w:val="Hyperlink"/>
            <w:rFonts w:cs="FrankRuehl" w:ascii="FrankRuehl" w:hAnsi="FrankRuehl"/>
            <w:rtl w:val="true"/>
          </w:rPr>
          <w:t xml:space="preserve">": </w:t>
        </w:r>
        <w:r>
          <w:rPr>
            <w:rStyle w:val="Hyperlink"/>
            <w:rFonts w:ascii="FrankRuehl" w:hAnsi="FrankRuehl" w:cs="FrankRuehl"/>
            <w:rtl w:val="true"/>
          </w:rPr>
          <w:t>על דילמת ההתחשבות בבקשתן של נשים החיות בצל האלימות להקל בענישת הפוגע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כו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2010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589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  <w:bookmarkStart w:id="6" w:name="Links_Kitvei_End"/>
      <w:bookmarkStart w:id="7" w:name="Links_Kitvei_End"/>
      <w:bookmarkEnd w:id="7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8" w:name="LawTable"/>
      <w:bookmarkEnd w:id="8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447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ז </w:t>
      </w:r>
      <w:bookmarkEnd w:id="12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ר  ד י 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3" w:name="ABSTRACT_START"/>
      <w:bookmarkEnd w:id="13"/>
      <w:r>
        <w:rPr>
          <w:rFonts w:ascii="David" w:hAnsi="David"/>
          <w:rtl w:val="true"/>
        </w:rPr>
        <w:t>כנגד הנאשם הוגש כתב אישום אשר מייחס לו את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תקיפה סתם של בת זוג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382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הסגת גבול פלילית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סעיף </w:t>
      </w:r>
      <w:hyperlink r:id="rId10">
        <w:r>
          <w:rPr>
            <w:rStyle w:val="Hyperlink"/>
            <w:rFonts w:cs="David" w:ascii="David" w:hAnsi="David"/>
            <w:color w:val="0000FF"/>
            <w:u w:val="single"/>
          </w:rPr>
          <w:t>447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  <w:bookmarkStart w:id="14" w:name="ABSTRACT_END"/>
      <w:bookmarkEnd w:id="14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בחלק הכללי של כתב האישום נאמר שהנאשם והמתלוננת ה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בני זוג ושהמתלוננת מתגוררת ברחוב </w:t>
      </w:r>
      <w:r>
        <w:rPr>
          <w:rFonts w:cs="David" w:ascii="David" w:hAnsi="David"/>
          <w:rtl w:val="true"/>
        </w:rPr>
        <w:t>---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בעיר 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בפרק העובדות לכתב האישום נאמר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07.07.2019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כשהוא תחת השפעת אלכוהול לבית ודפק על דלת הבית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הדלת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בחוזקה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המתלוננת סירבה לפתוח לו את הדלת ואמרה לו שתזעיק עבורו 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בתגובה אמר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על הזין שלי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עלה על שער הכניסה לבית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השער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פתח את דלת המטבח בבית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דלת המטבח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ונכנס הימנו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לקלל וזרק את מכשיר הטלפון הנייד שלו על הקיר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הוציאה המתלוננת את הנאשם מהבית ויצאה עמו על מנת שיתפכח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נשכב הנאשם על ספסל סמוך לבית והמתלוננת שבה לבית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תפס הנאשם את המתלוננת בכתפיה ומשך אותה בעוד המתלוננת צועקת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תעזוב אותי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ניגש הפקח אליאל מעודה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הפקח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אל המתלוננת והנאשם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הפריד בין השניים וליווה את המתלוננת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בזמן שהנאשם צועק לעבר הפקח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אזכור את הפנים שלך ואני אתראה אתך ואני אזיין אותך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המתלוננת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הנאשם על השער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 את דלת המטבח ונכנס לבית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אמרה המתלוננת לנאשם כי היא מזעיקה 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ניגש הנאשם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בשערה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צבט באזנה וניסה לחנוק אותה באמצעות 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הזעיקה המתלוננת 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השיג הנאשם גבול במטרה לעבור עבירה ולהפחיד את יושביו ותקף את המתלוננת שלא כדין</w:t>
      </w:r>
      <w:r>
        <w:rPr>
          <w:rFonts w:cs="David" w:ascii="David" w:hAnsi="David"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כלשונן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טען טענה משפטית שעובדות כתב האישום אינן מקיימות את העבירה של הסגת גבול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זו נדחתה בהכרעת הדין והנאשם הורשע בכל העבירות שיוחסו לו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לנאשם עבר פלילי שכולל הרשע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בעבירות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אלימות כנגד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שהיא </w:t>
      </w:r>
      <w:r>
        <w:rPr>
          <w:rFonts w:ascii="David" w:hAnsi="David"/>
          <w:rtl w:val="true"/>
        </w:rPr>
        <w:t>המתלוננת בתיק שבפני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תלוי ועומד כנגדו מאסר על תנאי</w:t>
      </w:r>
      <w:r>
        <w:rPr>
          <w:rFonts w:ascii="David" w:hAnsi="David"/>
          <w:rtl w:val="true"/>
        </w:rPr>
        <w:t xml:space="preserve"> של שישה 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 לייחס כל משקל לעדותה של המתלוננת בעת שמיעת הראיות שבה טענה שיש להקל בעונשו של הנאשם מאחר והוא זקוק לשיקום וגמילה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לאור העובדה שמדובר בטענות חוזרות ונשנות מטעם אותה 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קורבן עבירות האלימות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 כוח</w:t>
      </w:r>
      <w:r>
        <w:rPr>
          <w:rFonts w:ascii="David" w:hAnsi="David"/>
          <w:rtl w:val="true"/>
        </w:rPr>
        <w:t xml:space="preserve"> הנאשם טען 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יש לזקוף לזכותו של הנאשם את ההודאה בכתב האישום</w:t>
      </w:r>
      <w:r>
        <w:rPr>
          <w:rFonts w:ascii="David" w:hAnsi="David"/>
          <w:rtl w:val="true"/>
        </w:rPr>
        <w:t xml:space="preserve"> ובכך צמצם באופן משמעותי את שמיעת הראיות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גבולות מתחם העונש ההולם </w:t>
      </w:r>
      <w:r>
        <w:rPr>
          <w:rFonts w:ascii="David" w:hAnsi="David"/>
          <w:rtl w:val="true"/>
        </w:rPr>
        <w:t xml:space="preserve">הם </w:t>
      </w:r>
      <w:r>
        <w:rPr>
          <w:rFonts w:ascii="David" w:hAnsi="David"/>
          <w:rtl w:val="true"/>
        </w:rPr>
        <w:t xml:space="preserve">משמעותית נמוכים יותר מהמתחם שהוצע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את כוח</w:t>
      </w:r>
      <w:r>
        <w:rPr>
          <w:rFonts w:ascii="David" w:hAnsi="David"/>
          <w:rtl w:val="true"/>
        </w:rPr>
        <w:t xml:space="preserve"> המאשימה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יש לייחס משקל גבוה לבקשתה של המתלוננת להקל בעונשו של הנאשם ואשר הבהירה שהעבירות בוצעו על רקע של שימוש משותף של שניהם בסמים ובאלכוהול ושהנאשם נהג לסייע 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לאחיה </w:t>
      </w:r>
      <w:r>
        <w:rPr>
          <w:rFonts w:ascii="David" w:hAnsi="David"/>
          <w:rtl w:val="true"/>
        </w:rPr>
        <w:t xml:space="preserve">ולאביה </w:t>
      </w:r>
      <w:r>
        <w:rPr>
          <w:rFonts w:ascii="David" w:hAnsi="David"/>
          <w:rtl w:val="true"/>
        </w:rPr>
        <w:t>שנמצא כיום במצב סיעודי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בשתי עבירות של תקיפת סתם של בת זוג ובשתי עבירות של הסגת 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בפועל מדובר </w:t>
      </w:r>
      <w:r>
        <w:rPr>
          <w:rFonts w:ascii="David" w:hAnsi="David"/>
          <w:u w:val="single"/>
          <w:rtl w:val="true"/>
        </w:rPr>
        <w:t>באירוע אחד</w:t>
      </w:r>
      <w:r>
        <w:rPr>
          <w:rFonts w:ascii="David" w:hAnsi="David"/>
          <w:rtl w:val="true"/>
        </w:rPr>
        <w:t xml:space="preserve"> ולא במספר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</w:t>
      </w:r>
      <w:r>
        <w:rPr>
          <w:rFonts w:ascii="David" w:hAnsi="David"/>
          <w:rtl w:val="true"/>
        </w:rPr>
        <w:t xml:space="preserve">לעניין רכיב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המאסר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נע בין </w:t>
      </w:r>
      <w:r>
        <w:rPr>
          <w:rFonts w:ascii="David" w:hAnsi="David"/>
          <w:rtl w:val="true"/>
        </w:rPr>
        <w:t xml:space="preserve">מספר חודשי </w:t>
      </w:r>
      <w:r>
        <w:rPr>
          <w:rFonts w:ascii="David" w:hAnsi="David"/>
          <w:rtl w:val="true"/>
        </w:rPr>
        <w:t xml:space="preserve">מאסר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למדיניות הענישה הנוהגת ל</w:t>
      </w:r>
      <w:r>
        <w:rPr>
          <w:rFonts w:ascii="David" w:hAnsi="David"/>
          <w:rtl w:val="true"/>
        </w:rPr>
        <w:t>סוג ה</w:t>
      </w: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 xml:space="preserve">שבהן הורשע הנאשם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7720/12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12.11.12</w:t>
      </w:r>
      <w:r>
        <w:rPr>
          <w:rFonts w:cs="David" w:ascii="David" w:hAnsi="David"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שוקרון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19.11.12</w:t>
      </w:r>
      <w:r>
        <w:rPr>
          <w:rFonts w:cs="David" w:ascii="David" w:hAnsi="David"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21.1.13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העובדה שהנאשם הודה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כלשונן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ומיקד את טיעוניו לטענה משפטית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ההודאה נמסרה רק במועד שמיעת הראיות שאליו התייצבה המתלוננת ואף </w:t>
      </w:r>
      <w:r>
        <w:rPr>
          <w:rFonts w:ascii="David" w:hAnsi="David"/>
          <w:rtl w:val="true"/>
        </w:rPr>
        <w:t>העידה 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בכך בכדי לגרוע מההקלה שלה זכאי הנאשם מעצם ההודאה בעובדות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עברו הפלילי של הנאשם ואשר כולל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הרשעות קודמות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הרשעה מיום </w:t>
      </w:r>
      <w:r>
        <w:rPr>
          <w:rFonts w:cs="David" w:ascii="David" w:hAnsi="David"/>
        </w:rPr>
        <w:t>20.12.16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בי</w:t>
      </w:r>
      <w:r>
        <w:rPr>
          <w:rFonts w:ascii="David" w:hAnsi="David"/>
          <w:rtl w:val="true"/>
        </w:rPr>
        <w:t>ת 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שלום ברמלה בגין עבירות של 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 והסגת גבול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הרשעה מיום </w:t>
      </w:r>
      <w:r>
        <w:rPr>
          <w:rFonts w:cs="David" w:ascii="David" w:hAnsi="David"/>
        </w:rPr>
        <w:t>19.7.18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בית משפט השלום</w:t>
      </w:r>
      <w:r>
        <w:rPr>
          <w:rFonts w:ascii="David" w:hAnsi="David"/>
          <w:rtl w:val="true"/>
        </w:rPr>
        <w:t xml:space="preserve"> ברמלה בגין 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היזק לרכוש במזיד ותקיפה הגורמת חבלה של ממש של בת זוג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הרשעתו משנת 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לציין כי מגיליון הרישום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שהופסקו ההליכים בעניינו מאחר ונמצא לא מסוגל לעמוד לדין מחמת מחלת 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בשני הליכים נפרדים שהתנהלו בעניינו בבי</w:t>
      </w:r>
      <w:r>
        <w:rPr>
          <w:rFonts w:ascii="David" w:hAnsi="David"/>
          <w:rtl w:val="true"/>
        </w:rPr>
        <w:t xml:space="preserve">ת המשפט </w:t>
      </w:r>
      <w:r>
        <w:rPr>
          <w:rFonts w:ascii="David" w:hAnsi="David"/>
          <w:rtl w:val="true"/>
        </w:rPr>
        <w:t xml:space="preserve">השלום ברמלה במהלך 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מובהר בזאת שאינני זוקף לחובתו של הנאשם את שני ההליכים האמורים לעניין העונש בתיק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באשר להרשעתו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הראוי לציין שמדובר בעבירה של תקיפה של בת זוג</w:t>
      </w:r>
      <w:r>
        <w:rPr>
          <w:rFonts w:ascii="David" w:hAnsi="David"/>
          <w:rtl w:val="true"/>
        </w:rPr>
        <w:t xml:space="preserve"> תוך גרימת חבלה של ממש ומדובר ב</w:t>
      </w:r>
      <w:r>
        <w:rPr>
          <w:rFonts w:ascii="David" w:hAnsi="David"/>
          <w:rtl w:val="true"/>
        </w:rPr>
        <w:t>אותה מתלוננת בתיק שבפני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מעיון בגזר הדין </w:t>
      </w:r>
      <w:r>
        <w:rPr>
          <w:rFonts w:ascii="David" w:hAnsi="David"/>
          <w:rtl w:val="true"/>
        </w:rPr>
        <w:t xml:space="preserve">מושא הרשעתו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עולה שהמתלוננת העידה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לטובתו של הנאשם תוך מתן תיאור מצמצם למעשיו והדגשה שיש להקל בעונשו ולפתוח פתח עבורו לשיקום על מנת שייגמל מסמים ואלכוהול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דבריה </w:t>
      </w:r>
      <w:r>
        <w:rPr>
          <w:rFonts w:ascii="David" w:hAnsi="David"/>
          <w:rtl w:val="true"/>
        </w:rPr>
        <w:t xml:space="preserve">שם אכן </w:t>
      </w:r>
      <w:r>
        <w:rPr>
          <w:rFonts w:ascii="David" w:hAnsi="David"/>
          <w:rtl w:val="true"/>
        </w:rPr>
        <w:t xml:space="preserve">נלקחו בחשבון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>בית המשפט בעת גזירת דינו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הקלה בעונשו והשתת עונש מאסר בפועל לתקופה קצרה ביותר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תלוי ועומד כנגד הנאשם מאסר על תנאי שניתן בהרשעה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שישה חודשים ואשר נוסח באופן הבא</w:t>
      </w:r>
      <w:r>
        <w:rPr>
          <w:rFonts w:cs="David" w:ascii="David" w:hAnsi="David"/>
          <w:rtl w:val="true"/>
        </w:rPr>
        <w:t>: "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משחרורו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והתנאי הוא שהנאשם לא יעבור עבירת אלימות כלפי בת זוג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מאסר על תנאי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על כל עבירת אלימות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אלא מאסר על תנאי שממוקד לנושא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אלימות כלפי בת זוג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מתוך מטרה ברורה להרתיעו מלתקוף כל בת זוג שתהיה לו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המתלוננת עצמה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המתלוננת התייצבה למועד שמיעת ההוכחות ולמעשה </w:t>
      </w:r>
      <w:r>
        <w:rPr>
          <w:rFonts w:ascii="David" w:hAnsi="David"/>
          <w:rtl w:val="true"/>
        </w:rPr>
        <w:t xml:space="preserve">חזרה על אותם </w:t>
      </w:r>
      <w:r>
        <w:rPr>
          <w:rFonts w:ascii="David" w:hAnsi="David"/>
          <w:rtl w:val="true"/>
        </w:rPr>
        <w:t xml:space="preserve">דברים שנאמרו על ידה במסגרת ההרשעה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פרוט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13.11.19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</w:t>
      </w:r>
      <w:r>
        <w:rPr>
          <w:rFonts w:ascii="David" w:hAnsi="David"/>
          <w:rtl w:val="true"/>
        </w:rPr>
        <w:t xml:space="preserve">ביקשה </w:t>
      </w:r>
      <w:r>
        <w:rPr>
          <w:rFonts w:ascii="David" w:hAnsi="David"/>
          <w:rtl w:val="true"/>
        </w:rPr>
        <w:t xml:space="preserve">להתחשב במערכת היחסים המורכבת </w:t>
      </w:r>
      <w:r>
        <w:rPr>
          <w:rFonts w:ascii="David" w:hAnsi="David"/>
          <w:rtl w:val="true"/>
        </w:rPr>
        <w:t xml:space="preserve">שקיימת </w:t>
      </w:r>
      <w:r>
        <w:rPr>
          <w:rFonts w:ascii="David" w:hAnsi="David"/>
          <w:rtl w:val="true"/>
        </w:rPr>
        <w:t xml:space="preserve">בינו לבינה </w:t>
      </w:r>
      <w:r>
        <w:rPr>
          <w:rFonts w:ascii="David" w:hAnsi="David"/>
          <w:rtl w:val="true"/>
        </w:rPr>
        <w:t xml:space="preserve">תוך הפנייה לעובדה </w:t>
      </w:r>
      <w:r>
        <w:rPr>
          <w:rFonts w:ascii="David" w:hAnsi="David"/>
          <w:rtl w:val="true"/>
        </w:rPr>
        <w:t>ששניהם נוהגים לעשות שימוש לרעה באלכוהול ובסמים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שגורם לשניהם להתנהג בצורה לא מכבדת ולא ראויה אחד כלפי השנייה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טענה שאילולא השימוש של שניהם בסמים ובאלכוהול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ייתכן שהתיק מושא כתב האישום לא היה נולד מעולם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טענה שהנאשם זקוק לטיפול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שיקום וגמילה ואם הדבר היה מתממש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מערכת היחסים ביניהם הייתה פורחת</w:t>
      </w:r>
      <w:r>
        <w:rPr>
          <w:rFonts w:cs="David" w:ascii="David" w:hAnsi="David"/>
          <w:rtl w:val="true"/>
        </w:rPr>
        <w:t xml:space="preserve">.  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האירוע מושא </w:t>
      </w:r>
      <w:r>
        <w:rPr>
          <w:rFonts w:ascii="David" w:hAnsi="David"/>
          <w:rtl w:val="true"/>
        </w:rPr>
        <w:t xml:space="preserve">התיק שבפני הוא זהה </w:t>
      </w:r>
      <w:r>
        <w:rPr>
          <w:rFonts w:ascii="David" w:hAnsi="David"/>
          <w:rtl w:val="true"/>
        </w:rPr>
        <w:t>במהותו לאירוע מושא ה</w:t>
      </w:r>
      <w:r>
        <w:rPr>
          <w:rFonts w:ascii="David" w:hAnsi="David"/>
          <w:rtl w:val="true"/>
        </w:rPr>
        <w:t xml:space="preserve">הרשעה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אותה </w:t>
      </w:r>
      <w:r>
        <w:rPr>
          <w:rFonts w:ascii="David" w:hAnsi="David"/>
          <w:rtl w:val="true"/>
        </w:rPr>
        <w:t>קורבן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סוג של עבירות והן אלימות כלפי המתלוננת ופגיעה ברכושה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טענה שהנאשם זקוק לשיקום וגמילה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ואותה בקשה שיש להקל בעונשו מאחר והיא סולחת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חפצה ביִקרו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וממתינה לשובו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ורגישה</w:t>
      </w:r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דנציג–רוזנברג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ודנה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>' "</w:t>
        </w:r>
        <w:r>
          <w:rPr>
            <w:rStyle w:val="Hyperlink"/>
            <w:color w:val="0000FF"/>
            <w:u w:val="single"/>
            <w:rtl w:val="true"/>
          </w:rPr>
          <w:t>כשאהבה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כואבת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דילמת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מחקרי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/>
        <w:t>589</w:t>
      </w:r>
      <w:r>
        <w:rPr>
          <w:rtl w:val="true"/>
        </w:rPr>
        <w:t xml:space="preserve"> – </w:t>
      </w:r>
      <w:r>
        <w:rPr/>
        <w:t>652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>לייחס כל משקל לבקשתה של המתלוננת להקל בעונשו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נהפוך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ביצע את העבירות מושא כתב האישום שבפני בעת שהיה תלוי ועומד כנגדו מאסר על תנאי שניתן על רקע נסיבות דומות ו</w:t>
      </w:r>
      <w:r>
        <w:rPr>
          <w:rFonts w:ascii="David" w:hAnsi="David"/>
          <w:rtl w:val="true"/>
        </w:rPr>
        <w:t xml:space="preserve">עדיין </w:t>
      </w:r>
      <w:r>
        <w:rPr>
          <w:rFonts w:ascii="David" w:hAnsi="David"/>
          <w:rtl w:val="true"/>
        </w:rPr>
        <w:t xml:space="preserve">לא היה בו כדי להרתיעו מלחזור ולבצע עבירות </w:t>
      </w:r>
      <w:r>
        <w:rPr>
          <w:rFonts w:ascii="David" w:hAnsi="David"/>
          <w:rtl w:val="true"/>
        </w:rPr>
        <w:t xml:space="preserve">דומות </w:t>
      </w:r>
      <w:r>
        <w:rPr>
          <w:rFonts w:ascii="David" w:hAnsi="David"/>
          <w:rtl w:val="true"/>
        </w:rPr>
        <w:t xml:space="preserve">של אלימות כלפי </w:t>
      </w:r>
      <w:r>
        <w:rPr>
          <w:rFonts w:ascii="David" w:hAnsi="David"/>
          <w:rtl w:val="true"/>
        </w:rPr>
        <w:t xml:space="preserve">אותה </w:t>
      </w:r>
      <w:r>
        <w:rPr>
          <w:rFonts w:ascii="David" w:hAnsi="David"/>
          <w:rtl w:val="true"/>
        </w:rPr>
        <w:t>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המאסר על תנאי שתלוי ועומד כנגד הנאשם הוא עונש נפרד ששייך להרשעה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עונש בגין התיק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שאלת ההצטברות או החפיפה של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לאחר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נדונה ב</w:t>
      </w:r>
      <w:r>
        <w:rPr>
          <w:rFonts w:cs="David" w:ascii="David" w:hAnsi="David"/>
          <w:rtl w:val="true"/>
        </w:rPr>
        <w:t>-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7907/14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ואזנה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22.2.15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בפסקאות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מזוז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נקבע כי הכלל הוא הצטברות של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כאשר מדובר באירועים עברייניים נפרדים ושונים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והחריג הוא חפיפה וזאת רק בהתקיים נסיבות מיוחדות ובכפוף להנמקה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ההלכה האמורה חזר בית המשפט העליון ב</w:t>
      </w:r>
      <w:r>
        <w:rPr>
          <w:rFonts w:cs="David" w:ascii="David" w:hAnsi="David"/>
          <w:rtl w:val="true"/>
        </w:rPr>
        <w:t>-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1552/15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ascii="David" w:hAnsi="David"/>
          <w:b/>
          <w:b/>
          <w:bCs/>
          <w:rtl w:val="true"/>
        </w:rPr>
        <w:t>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4.6.15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פוגלמן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נסיבות מיוחדות לחפיפת המאסר על תנאי ולכן הנאשם ירצה אותו</w:t>
      </w:r>
      <w:r>
        <w:rPr>
          <w:rFonts w:ascii="David" w:hAnsi="David"/>
          <w:u w:val="single"/>
          <w:rtl w:val="true"/>
        </w:rPr>
        <w:t xml:space="preserve"> במצטבר</w:t>
      </w:r>
      <w:r>
        <w:rPr>
          <w:rFonts w:ascii="David" w:hAnsi="David"/>
          <w:rtl w:val="true"/>
        </w:rPr>
        <w:t xml:space="preserve"> לעונש 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ושת עליו </w:t>
      </w:r>
      <w:r>
        <w:rPr>
          <w:rFonts w:ascii="David" w:hAnsi="David"/>
          <w:rtl w:val="true"/>
        </w:rPr>
        <w:t>בגין התיק הנוכחי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הנני מפעיל את המאסר המותנה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שהוטל על הנאשם במסגרת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48870-03-18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בי</w:t>
      </w:r>
      <w:r>
        <w:rPr>
          <w:rFonts w:ascii="David" w:hAnsi="David"/>
          <w:rtl w:val="true"/>
        </w:rPr>
        <w:t xml:space="preserve">ת משפט </w:t>
      </w:r>
      <w:r>
        <w:rPr>
          <w:rFonts w:ascii="David" w:hAnsi="David"/>
          <w:rtl w:val="true"/>
        </w:rPr>
        <w:t xml:space="preserve">השלום ברמלה מיום </w:t>
      </w:r>
      <w:r>
        <w:rPr>
          <w:rFonts w:cs="David" w:ascii="David" w:hAnsi="David"/>
        </w:rPr>
        <w:t>19.7.18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במצטבר לעונש שהושת עליו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b/>
          <w:b/>
          <w:bCs/>
          <w:rtl w:val="true"/>
        </w:rPr>
        <w:t>סה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ירצה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בניכוי ימי מעצרו</w:t>
      </w:r>
      <w:r>
        <w:rPr>
          <w:rFonts w:ascii="David" w:hAnsi="David"/>
          <w:b/>
          <w:b/>
          <w:bCs/>
          <w:rtl w:val="true"/>
        </w:rPr>
        <w:t xml:space="preserve"> מיום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7.7.19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היום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יבצע עבירת אלימות או עבירה לפי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447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 קנס בסך</w:t>
      </w:r>
      <w:r>
        <w:rPr>
          <w:rFonts w:ascii="David" w:hAnsi="David"/>
          <w:rtl w:val="true"/>
        </w:rPr>
        <w:t xml:space="preserve">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תשלומים חודשים שווים ורצופים כאשר הראשון שבהם עד ליום </w:t>
      </w:r>
      <w:r>
        <w:rPr>
          <w:rFonts w:cs="David" w:ascii="David" w:hAnsi="David"/>
        </w:rPr>
        <w:t>1.2.20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bookmarkStart w:id="15" w:name="Nitan"/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כסלו 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דצמבר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5"/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30671-07-19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ניקולאי חרנ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ם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4001" TargetMode="External"/><Relationship Id="rId3" Type="http://schemas.openxmlformats.org/officeDocument/2006/relationships/hyperlink" Target="http://www.nevo.co.il/safrut/book/40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0301/447" TargetMode="External"/><Relationship Id="rId7" Type="http://schemas.openxmlformats.org/officeDocument/2006/relationships/hyperlink" Target="http://www.nevo.co.il/law/70301/447.a" TargetMode="External"/><Relationship Id="rId8" Type="http://schemas.openxmlformats.org/officeDocument/2006/relationships/hyperlink" Target="http://www.nevo.co.il/law/70301/382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47.a" TargetMode="External"/><Relationship Id="rId11" Type="http://schemas.openxmlformats.org/officeDocument/2006/relationships/hyperlink" Target="http://www.nevo.co.il/case/6247978" TargetMode="External"/><Relationship Id="rId12" Type="http://schemas.openxmlformats.org/officeDocument/2006/relationships/hyperlink" Target="http://www.nevo.co.il/case/5606505" TargetMode="External"/><Relationship Id="rId13" Type="http://schemas.openxmlformats.org/officeDocument/2006/relationships/hyperlink" Target="http://www.nevo.co.il/case/5568571" TargetMode="External"/><Relationship Id="rId14" Type="http://schemas.openxmlformats.org/officeDocument/2006/relationships/hyperlink" Target="http://www.nevo.co.il/safrut/book/40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18654248" TargetMode="External"/><Relationship Id="rId17" Type="http://schemas.openxmlformats.org/officeDocument/2006/relationships/hyperlink" Target="http://www.nevo.co.il/case/20060571" TargetMode="External"/><Relationship Id="rId18" Type="http://schemas.openxmlformats.org/officeDocument/2006/relationships/hyperlink" Target="http://www.nevo.co.il/case/23809783" TargetMode="External"/><Relationship Id="rId19" Type="http://schemas.openxmlformats.org/officeDocument/2006/relationships/hyperlink" Target="http://www.nevo.co.il/law/70301/44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2019-12-15T14:21:00Z</dcterms:created>
  <dc:creator> </dc:creator>
  <dc:description/>
  <cp:keywords/>
  <dc:language>en-IL</dc:language>
  <cp:lastModifiedBy>hofit</cp:lastModifiedBy>
  <dcterms:modified xsi:type="dcterms:W3CDTF">2019-12-15T14:21:00Z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ניקולאי חרנ#ם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4001</vt:lpwstr>
  </property>
  <property fmtid="{D5CDD505-2E9C-101B-9397-08002B2CF9AE}" pid="9" name="CASESLISTTMP1">
    <vt:lpwstr>6247978;5606505;5568571;18654248;20060571;23809783</vt:lpwstr>
  </property>
  <property fmtid="{D5CDD505-2E9C-101B-9397-08002B2CF9AE}" pid="10" name="CITY">
    <vt:lpwstr>רמ'</vt:lpwstr>
  </property>
  <property fmtid="{D5CDD505-2E9C-101B-9397-08002B2CF9AE}" pid="11" name="DATE">
    <vt:lpwstr>20191210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70301/382.b;447.a;447</vt:lpwstr>
  </property>
  <property fmtid="{D5CDD505-2E9C-101B-9397-08002B2CF9AE}" pid="16" name="LAWYER">
    <vt:lpwstr>נטליה אוסטרובסקי;איתי בן נון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30671</vt:lpwstr>
  </property>
  <property fmtid="{D5CDD505-2E9C-101B-9397-08002B2CF9AE}" pid="23" name="NEWPARTB">
    <vt:lpwstr>07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380020191210</vt:lpwstr>
  </property>
  <property fmtid="{D5CDD505-2E9C-101B-9397-08002B2CF9AE}" pid="35" name="TYPE_N_DATE">
    <vt:lpwstr>38020191210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