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30706-05-21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סואעד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מוחמד סואעד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הודאתו במסגרת הסדר טיעון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שוד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12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5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6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ירי מנשק חם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)+(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18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הפרעה לשוטר בשעת מילוי תפקידו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+ </w:t>
      </w:r>
      <w:hyperlink r:id="rId20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לא כלל הסכמה בדבר העונש שייגזר על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אשר כפר תחילה במרבית עובדות כתב האישום שהוגש כנגדו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בו במסגרת הסדר הטיעון מכפירתו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והודה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לאחר שנשמעו מקצת מן הראיות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u w:val="single"/>
          <w:rtl w:val="true"/>
        </w:rPr>
        <w:t>כתב האישום המתוקן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כתב האישום המתוקן שעיקרו יובא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ליום </w:t>
      </w:r>
      <w:r>
        <w:rPr>
          <w:rFonts w:cs="David" w:ascii="David" w:hAnsi="David"/>
        </w:rPr>
        <w:t>21.4.2021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וחברו אבראהים סואעד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אבראהים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תכננו לבצע שוד בתחנת טוטו בשכונת ואדי סקיע בשפרעם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תוך שימוש בנשק חם אשר באמצעותו יירו במהלך השוד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 השניים בלבוש כהה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בכיסויי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בכפפות ובתת מקלע מאולתר </w:t>
      </w:r>
      <w:r>
        <w:rPr>
          <w:rFonts w:cs="David" w:ascii="David" w:hAnsi="David"/>
          <w:rtl w:val="true"/>
        </w:rPr>
        <w:t>("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אשר סוגל לירות כדור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במחסנית ובכדורים התואמים לתת המקלע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יחד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הנאשם ואבראהים נשאו והובילו את הנשק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ובלא רשות על פי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21.4.2021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ואבראהים הגיעו אל תחנת הטוטו ונכנסו אליה כשהם אוחזים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שלוף וטעון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באותה העת שהו במקום  בעלי התחנה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ופא שחאדה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ובעלה זאהי שחאדה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יחד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המתלוננים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שעסקו בספירת הפדיון היומי מאחורי דלפק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כניסתם לתחנת הטוטו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ואבראהים ביצעו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כדור בודד מהנשק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להרתיע את המתלוננים ולמנוע התנגדותם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הכדור שנורה פגע בכסא הניצב סמוך לדלפק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ואבראהים דרשו באיומי נשק לקבל את כל הכסף שברשות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איומיהם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ובפחדה מהנאשם ומאבראהים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מסרה לידיהם סך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שהיה בקופה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ואבראהים הוסיפו ודרשו מהמתלוננת לפתוח את תיקה ולמסור לידיהם את הכסף שבתיק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מסרה לידיהם סכום נוסף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ואבראהים נמלטו מהמקום רגלית דרך תחנת דלק סמוכה לעבר כביש </w:t>
      </w:r>
      <w:r>
        <w:rPr>
          <w:rFonts w:cs="David" w:ascii="David" w:hAnsi="David"/>
        </w:rPr>
        <w:t>79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הבריחה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בכדי להעלים ראיות ולמנוע את גילויים ותפיסתם ולהביא לידי עיוות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ואבראהים זרקו את כיסויי הפנים ואת הכפפות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אף השליך את חולצתו על אי תנועה בכביש </w:t>
      </w:r>
      <w:r>
        <w:rPr>
          <w:rFonts w:cs="David" w:ascii="David" w:hAnsi="David"/>
        </w:rPr>
        <w:t>79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22:45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 הבחינו בנאשם ובאבראהים כשהם הולכים לצידי הכביש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שהיו לבושים מדי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ירדו מניידות המשטרה על מנת לעכב את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מיד כשהבחינו בשוטרים החלו להימלט כשהם מתפצלים במנוסתם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נשמעו להוראות השוטרים שקראו להם לעצור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מנוסתם הנאשם ואבראהים השליכו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מרדף רגלי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אבראהים 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בעודו מנסה להשליך מכיסיו את הכסף ששדד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נעצר מספר ימים לאחר מכן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בהתאם להחלטתי מיום </w:t>
      </w:r>
      <w:r>
        <w:rPr>
          <w:rFonts w:cs="David" w:ascii="David" w:hAnsi="David"/>
        </w:rPr>
        <w:t>1.11.2021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נערך תסקיר של שירות המבחן על אודות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10.1.2022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פורט רקעו האישי והמשפחתי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בכלל זה צויין כי הנאשם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רווק ומתגורר בבית הוריו בשפרעם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השלים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קודם מעצרו עבד חצי שנה לערך עם אביו בסלילת כבישים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בתפקיד צבעי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להורי הנאשם ארבעה ילדים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 הוא הצעיר בסדר הילודה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אבי הנאשם עובד בתחום סלילה ותשתיות תחבורה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האם עובדת בניקיון במסגרות חינוכיות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בנוגע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היסטוריה עבריינית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צויין בתסקיר כי אין לחובת הנאשם הרשעות קודמות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לעבירות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בתסקיר כי הנאשם לוקח אחריות על התנהלותו פורצת הגבול בעת ביצוע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מתקשה לזהות את דפוסי אישיותו המכשילים שהביאו למעורבותו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מעשיו נבעו מחשש פיזי משותפו לעבירות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ומרצונו להוכיח את גבריותו בפניו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מתחרט על התנהלותו הרשלנית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האימה שהטיל על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וברצונו להתנצל בפניהם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המשיך שירות המבחן ועמד על הערכת הסיכון לעבריינות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הסיכויי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 לבסוף כי אין באפשרותו לשלול התנהגות עוברת חוק מצד הנאשם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העריך שירות המבחן כי הסיכון להישנות עבירות אלימות דומות בעתיד מצד הנאשם הוא בינוני וברמת חומרה בינונית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התרשם מצעיר הנעדר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קווי התנהגות ילדותיים אשר מתקשה להיפתח ולשתף מעולמו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מקיומם של דפוסים עברייניים בהתנהלות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הוא מתקשה לבחון בשלב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העריך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היעדר הצבת גבולות מצד מערכת התמיכה המשפחתית בחייו וקשריו עם חברה שולית לצד אישיותו הילדותית וחסרת היציבות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מהווים גורמי סיכון אשר עשויים להכשיל את תהליך עריכת השינוי בחייו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שירות המבחן התרשם כי מקור ביטויי המוטיבציה לשינוי שמתאר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בהשלכות ההליכים המשפטיים כנגדו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מתובנה או מחיבור אמיתי לנסיבות שהובילו אותו להתנהלות פורצת הגבול או לחומרת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הערכת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בא שירות המבחן בהמלצה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והמליץ על הטלת ענישה מרתיעה אשר תהווה גבול ברור להתנהלות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בדיון שהתקיים לפניי ביום </w:t>
      </w:r>
      <w:r>
        <w:rPr>
          <w:rFonts w:cs="David" w:ascii="David" w:hAnsi="David"/>
        </w:rPr>
        <w:t>19.1.2022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טענו הצדדים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הגישה טיעון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גזר דין של מותב אחר שדן בעניינו של אבראהים וכן אסופת 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גם הוא פסק דין לעיוני והפנה לפסיקה נוספת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בטיעוניה בכתב עמדה המאשימה על חומרת 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בציינה כי עבירת השוד באמצעות נשק היא מהעבירות החמורות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ואשר הפכה לאחרונה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נטען כי הערכים החברתיים המרכזיים אשר נפגעים כתוצאה ממעשי שוד בנסיבות מחמירות הם בריאותו ושלמות גופו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קניינו של אדם ורכושו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עוצמת הפגיעה מתחזקת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משהשוד בוצע מחנות המתלוננים באמצעות נשק חם שנעשה בו שימוש במהלך השוד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עמדה המאשימה על כי עבירת השוד גורמת לפגיעה רבה בתחושת 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ומטילה פחד ואימה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ביקשה להדגיש את הנסיבות לחומרה הקשורות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נטען 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מעשי הנאשם מצביעים על אורח חיים אלים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מסוכנות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זלזול בחיי אדם והיעדר מורא מפני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בוצעו תוך שימוש בנשק חם וירי כדי להרתיע את המתלוננים ולמנוע התנגדותם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לביצוע השוד קדם תכנון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הצטיידות בלבוש כהה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בכיסויי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בכפפות ובנשק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נשאו והובילו הנאשם ואבראהים לצורך ביצוע השוד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עמדה המאשימה על הפחד והבהלה שאחזו במתלוננים ועל כי נגנב הימנם סך של </w:t>
      </w:r>
      <w:r>
        <w:rPr>
          <w:rFonts w:cs="David" w:ascii="David" w:hAnsi="David"/>
        </w:rPr>
        <w:t>23,000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>על הנזק שהיה צפוי לו הירי היה פוגע במתלוננים או באחר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על גילו של הנאשם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ועל מודעותו לטיב מעשיו והשלכותיהם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אעיר כי המאשימה ציינה בטיעוניה בכתב כי חלקו של הנאשם בביצוע העבירה הוא 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 הנאשם נשא בפועל את הנשק וירה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 בעל פה ציינה כי האירוע בוצע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טיעון זה בעל פה עולה בקנה אחד עם עובדות כתב האישום המתוקן בו הודה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בבחינת מדיניות הענישה הנהוגה הפנתה המאשימה לשישה 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בהם הושתו עונשים של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 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המאשימה כי בענייננו מדובר בתת מקלע ולא בכלי הנחזה להיות 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בשים לב לאלו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סבורה כי מתחם העונש ההולם בענייננו 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עמדה המאשימה על היעדר עבר פלילי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הודאתו אשר חסכה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האמור בתסקיר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עמדה המאשימה על שיקול הרתעת הרבים לאור השימוש בנשק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להשית על הנאשם עונש מאסר ברף האמצעי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 מאסר על תנאי ארוך ומרתיע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פיצוי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בטיעוניה 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עמדה המאשימה בין היתר על עניינו של אבראהים שנדון לפני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פורת בבית משפט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הסבירה כי לאבראהים יוחסו שני אישומים שונים 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האחד בנוגע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 הוא אירוע השוד שבענייננו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נקבעו שני מתחמי ענישה של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ושל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ביחס לאישום שבענייננו נגזרו על אברהים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ובסך הכל עם האישום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שנחפפו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עליו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סבורה כי בעניינו של הנאשם דכאן יש לקבוע מתחם גבוה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הבהיר בפתח דבריו כי העובדות המתוארות בטיעוני המאשימה בכתב תואמות את כתב האישום המקורי שהוגש בענייננו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את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כי המאשימה תפנה לפסיקה 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ובד בבד תטען למתחמי ענישה שונים מאלו שנקבעו באותם המקרים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באחד מפסקי הדין אליהם הפנתה המאשימה </w:t>
      </w:r>
      <w:r>
        <w:rPr>
          <w:rFonts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3002-09-20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אזי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17.10.2021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חג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אזי</w:t>
      </w:r>
      <w:r>
        <w:rPr>
          <w:rFonts w:cs="David" w:ascii="David" w:hAnsi="David"/>
          <w:rtl w:val="true"/>
        </w:rPr>
        <w:t xml:space="preserve">")) </w:t>
      </w:r>
      <w:r>
        <w:rPr>
          <w:rFonts w:ascii="David" w:hAnsi="David"/>
          <w:rtl w:val="true"/>
        </w:rPr>
        <w:t xml:space="preserve">נקבע מתחם עונש הולם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ונגזרו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כשדובר בירי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בטיעוני המאשימה לעונש בעניין חג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ששותפו נדון לפני מותב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בסופו של דבר משיקולי אחידות הענישה לאותו המתחם שנקבע בעניין השותף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הפנה גם הוא לחלק מהפסיקה אליה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והגיש פסק דין נוסף לעיוני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ברמה הערכית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יש לקבוע מתחם עונש הולם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לאבראהים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נטען כי לא ניתן להתעלם מהאישום הנוסף בעניינו כשבוחנים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את המעורבות בעולם הפשע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הסנגור הדגיש כי על פי גזר הדין בעניינו של אבראהים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הלה החזיק משנת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בתת מקלע ועשה בו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ובאותו תת מקלע נעשה שימוש בשוד מושא 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בקביעה הערכית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נגזרו על אבראהים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אירוע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בפועל ונוכח החפיפה עם העונש שהוטל בגין האישום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למעשה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אף לנסיבותיו האישיות של הנאשם כמפורט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וטען כי שירות המבחן לא ציין כי עונשו של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צריך להיות חמור בן כמה שנים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הסנגור הדגיש כי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הערכת הסיכון נקבעה כבינונית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לאור 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ושירות המבחן היה מזהה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בעיה קשה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עבריין אשר לא לוקח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סביר להניח כי הערכת המסוכנות הייתה גבוהה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 כי הנאשם הודה בהזדמנות הראשונה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נחקרו לטענתו שני 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בעקבות חקירתם תוקן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חסך הנאשם 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 הסנגור את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היותו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בשל כך עונשו צריך להיגזר בתחתית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לאור גזר הדין בעניינו של אבראהים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ומשיקולי שוויון ומראית 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להשית על הנאשם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דברי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אלו דברי הנאשם כפי שנרשמו בפרוטוקול הדיון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אני מתנצל ומצטער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מבין את חומרת המעשה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מתחרט ומבטיח לך לא לחזור על זה עוד פעם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העבירות בנסיבותיהן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למעשה 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שאינן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יכול לחרוג ממתחם העונש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המוגנים אשר נפגעו מן 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מידת הפגיעה 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מעשיו של הנאשם גרמו לפגיעה בשורה של ערכים 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בראשם הגנה על בטחון הציבור ושלומו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ובאופן פרטני היוו המעשים סכנה לשלמות גופם של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בדרך הילוכו של הנאשם יש גם כדי לערער את תחושת הביטחון האישי השוררת בציבור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נפגעו ערך ההגנה על קניינו של אדם וכבודו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מעשה שוד כשלעצמו הוא בעל חומרה מרובה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מתווספת חומרה יתרה שכן העבירה בוצעה אגב שימוש בנשק חם וירי הימנו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לבל יתנגדו המתלוננים למהלכו של השוד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ארעה פגיעה בגוף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דומני כי האירוע הסתיים כך אך בנס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נקל לתאר סיומת אחרת לו הכדור שנורה היה פוגע במי מהמתלוננים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אף במקרה של פגיעת נתז בהם כתוצאה מן הירי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בביצוע עבירת 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הענישה המשמעותית שיש להשית בגין ביצועה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ראו על כך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4949/15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מקדסי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17.3.2016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על חומרתה הרבה של עבירת השוד עמד בית משפט זה 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הדין גם בניסיון לביצוע שוד אשר סוכל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אלו מאיימות על הסדר החברתי התקין ועל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ראוי להטיל בגינן עונשי מאסר ממושכים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המבטאים את סלידת החברה ממבצעי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ונותנים ביטוי הולם לעקרונות הגמול וההרתעה </w:t>
      </w:r>
      <w:r>
        <w:rPr>
          <w:rFonts w:cs="David" w:ascii="David" w:hAnsi="David"/>
          <w:rtl w:val="true"/>
        </w:rPr>
        <w:t>..."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עוד על עבירת השוד וחומרתה ראו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3907/10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נעאמנה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23.3.2011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עבירת השוד היא מן הותיקות שבעבירות הפליליות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מימי קדם ועד ימינו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רבו האנשים שערכו בינם לבין עצמם חשבון של סיכויי ההצלחה מול הסיכונים הכרוכים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ונענו לפיתוי הכספי הכרוך באירוע אלים קצר טווח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כנגד פיתוי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נאלצה כל חברה אנושית למצוא את הדרכים להיאבק נגד הפגיעה החמורה בה וביחידיה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חומרתה של עבירה זו כלפי הפרט מורכבת משני נדבכים משתלבים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הפגיעה בקניינו של קורבן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ובמקרה דנן – פדיון עמל יומו של בעל עסק זעיר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המיועד לזון את בני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הממד הפוגעני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האלים והמאיים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אם יקבל קורבן השוד את כל רכושו בחזרה בלא 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במהרה יחלימו צלקותיו הנפשיות</w:t>
      </w:r>
      <w:r>
        <w:rPr>
          <w:rFonts w:cs="David" w:ascii="David" w:hAnsi="David"/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יפים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בשינויים המחוייבים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דבריו של בית המשפט העליון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1312/16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6.11.2016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בהקשר זה יש לזכור כי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טומנת בחובה פוטנציאל סכנה לשלמות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הגוף והנפש ולביטחון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 שכן כאשר נעשה שימוש של ממש בנשק בנוכחות לקוחות ועובדים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וכל זאת בטבורו של יישוב ולאור יום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והשוו</w:t>
      </w:r>
      <w:r>
        <w:rPr>
          <w:rFonts w:cs="David" w:ascii="David" w:hAnsi="David"/>
          <w:rtl w:val="true"/>
        </w:rPr>
        <w:t xml:space="preserve">: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107/08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אלמהדי ע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בפסקאות </w:t>
      </w:r>
      <w:r>
        <w:rPr>
          <w:rFonts w:cs="David" w:ascii="David" w:hAnsi="David"/>
        </w:rPr>
        <w:t>15-14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3.2.2010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למעשים של המשיבים נלווית חומרה יתרה עקב התכנון המוקדם וההצטיידות בציוד הדרוש לצורך הגשמת התכנית העבריינית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שענייננו במעשה שוד המצוי ברף גבוה של חומרה</w:t>
      </w:r>
      <w:r>
        <w:rPr>
          <w:rFonts w:cs="David" w:ascii="David" w:hAnsi="David"/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בעניין זה של השונות בין מעשי השוד ומנעד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נכון להזכיר את דבריו של 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4841/13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ספי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יא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6.2.2014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לפיהם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364" w:start="1440" w:end="851"/>
        <w:jc w:val="both"/>
        <w:rPr/>
      </w:pPr>
      <w:r>
        <w:rPr>
          <w:rFonts w:cs="David" w:ascii="David" w:hAnsi="David"/>
          <w:rtl w:val="true"/>
        </w:rPr>
        <w:tab/>
        <w:t>"</w:t>
      </w:r>
      <w:r>
        <w:rPr>
          <w:rFonts w:ascii="David" w:hAnsi="David"/>
          <w:rtl w:val="true"/>
        </w:rPr>
        <w:t>באשר לקביעת מתחם העונש ההולם – כנודע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לובשת עבירת השוד פנים וצורות רבות וקביעת מתחמי הענישה ההולמים בגינה מגוונת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אך פטור בלא כלום אי אפשר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בבלי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חולין כז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ואת המסגרת קבע כמובן המחוקק בקביעת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תג העונש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לעבירה זו – אין זהה דינה של עבירה שנעברה תוך פגיעה פיסית אלימה לעבירה שבוצעה על דרך הפחדה בלבד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אין זהה דינה של עבירה שנעברה לאחר תכנון והכנה מוקדמים לעבירה אקראית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ספונטנית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אין זהה דינה של עבירה שנעברה בחבורה לדינה של עבירת אדם יחיד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אין זהה דינה של עבירה שנעשתה תוך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חם או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לעבירה שנעשתה ללא שימוש בנשק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אין זהה דינה של עבירה חד פעמית למסכת שיטתית של עבירות </w:t>
      </w:r>
      <w:r>
        <w:rPr>
          <w:rFonts w:cs="David" w:ascii="David" w:hAnsi="David"/>
          <w:rtl w:val="true"/>
        </w:rPr>
        <w:t xml:space="preserve">...".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שאמרתי זאת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4322/19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6347/19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26.1.2020</w:t>
      </w:r>
      <w:r>
        <w:rPr>
          <w:rtl w:val="true"/>
        </w:rPr>
        <w:t xml:space="preserve">) 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.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),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בשניהם</w:t>
      </w:r>
      <w:r>
        <w:rPr>
          <w:rtl w:val="true"/>
        </w:rPr>
        <w:t xml:space="preserve">.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 xml:space="preserve">,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כששניים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, </w:t>
      </w:r>
      <w:r>
        <w:rPr>
          <w:rtl w:val="true"/>
        </w:rPr>
        <w:t>ופלוני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המדפים</w:t>
      </w:r>
      <w:r>
        <w:rPr>
          <w:rtl w:val="true"/>
        </w:rPr>
        <w:t xml:space="preserve">. </w:t>
      </w:r>
      <w:r>
        <w:rPr>
          <w:rtl w:val="true"/>
        </w:rPr>
        <w:t>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tl w:val="true"/>
        </w:rPr>
        <w:t xml:space="preserve">.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וכשהשודדים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ליאסין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1072/18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אלהיגא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6.2.2019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1901-04-17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20.12.2017</w:t>
      </w:r>
      <w:r>
        <w:rPr>
          <w:rtl w:val="true"/>
        </w:rPr>
        <w:t xml:space="preserve">) -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שהמערער חזר בו מערעורו בהמלצת בית המשפט העליון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כשבנוגע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8271/17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30.1.2018</w:t>
      </w:r>
      <w:r>
        <w:rPr>
          <w:rtl w:val="true"/>
        </w:rPr>
        <w:t xml:space="preserve">) 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מיכלאשוילי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23.6.2014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גנובה</w:t>
      </w:r>
      <w:r>
        <w:rPr>
          <w:rtl w:val="true"/>
        </w:rPr>
        <w:t xml:space="preserve">).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שנשבר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tl w:val="true"/>
        </w:rPr>
        <w:t xml:space="preserve">. </w:t>
      </w:r>
      <w:r>
        <w:rPr>
          <w:rtl w:val="true"/>
        </w:rPr>
        <w:t>כשניסו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</w:t>
      </w:r>
      <w:r>
        <w:rPr>
          <w:rtl w:val="true"/>
        </w:rPr>
        <w:t xml:space="preserve">,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יקרא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tl w:val="true"/>
        </w:rPr>
        <w:t xml:space="preserve">. </w:t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הפיצה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שיסתירם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29461-10-20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בוקאעי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11.5.2021</w:t>
      </w:r>
      <w:r>
        <w:rPr>
          <w:rtl w:val="true"/>
        </w:rPr>
        <w:t xml:space="preserve">) 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כשבוקאעי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</w:t>
      </w:r>
      <w:r>
        <w:rPr>
          <w:rtl w:val="true"/>
        </w:rPr>
        <w:t xml:space="preserve">"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בוקאעי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בוקאעי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962-06-20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17.2.2021</w:t>
      </w:r>
      <w:r>
        <w:rPr>
          <w:rtl w:val="true"/>
        </w:rPr>
        <w:t xml:space="preserve">) 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. </w:t>
      </w:r>
      <w:r>
        <w:rPr>
          <w:rtl w:val="true"/>
        </w:rPr>
        <w:t>משהחל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הטוטו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tl w:val="true"/>
        </w:rPr>
        <w:t xml:space="preserve">), </w:t>
      </w:r>
      <w:r>
        <w:rPr>
          <w:rtl w:val="true"/>
        </w:rPr>
        <w:t>במלבושים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כהים</w:t>
      </w:r>
      <w:r>
        <w:rPr>
          <w:rtl w:val="true"/>
        </w:rPr>
        <w:t xml:space="preserve">, </w:t>
      </w:r>
      <w:r>
        <w:rPr>
          <w:rtl w:val="true"/>
        </w:rPr>
        <w:t>בכיסויי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ובכפפות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.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tl w:val="true"/>
        </w:rPr>
        <w:t xml:space="preserve">,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המבעית</w:t>
      </w:r>
      <w:r>
        <w:rPr>
          <w:rtl w:val="true"/>
        </w:rPr>
        <w:t xml:space="preserve">;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23,000</w:t>
      </w:r>
      <w:r>
        <w:rPr>
          <w:rtl w:val="true"/>
        </w:rPr>
        <w:t xml:space="preserve"> ₪.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וטעון</w:t>
      </w:r>
      <w:r>
        <w:rPr>
          <w:rtl w:val="true"/>
        </w:rPr>
        <w:t>"; "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הטוטו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ואבראהים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... .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פורת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פרשות</w:t>
      </w:r>
      <w:r>
        <w:rPr>
          <w:rtl w:val="true"/>
        </w:rPr>
        <w:t xml:space="preserve">.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ובגינה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קריניאן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28.3.2012</w:t>
      </w:r>
      <w:r>
        <w:rPr>
          <w:rtl w:val="true"/>
        </w:rPr>
        <w:t xml:space="preserve">)), </w:t>
      </w:r>
      <w:r>
        <w:rPr>
          <w:rtl w:val="true"/>
        </w:rPr>
        <w:t>ומשכתב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)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ולאבראהים</w:t>
      </w:r>
      <w:r>
        <w:rPr>
          <w:rtl w:val="true"/>
        </w:rPr>
        <w:t xml:space="preserve">; </w:t>
      </w:r>
      <w:r>
        <w:rPr>
          <w:rtl w:val="true"/>
        </w:rPr>
        <w:t>לשניהם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.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",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tl w:val="true"/>
        </w:rPr>
        <w:t xml:space="preserve">,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יוגשם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שלוש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יימנו החל ממעצרו ביום </w:t>
      </w:r>
      <w:r>
        <w:rPr>
          <w:rFonts w:cs="David" w:ascii="David" w:hAnsi="David"/>
          <w:b/>
          <w:bCs/>
          <w:sz w:val="24"/>
          <w:szCs w:val="24"/>
        </w:rPr>
        <w:t>25.4.2021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שמונה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עבירת אלימות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נשק או רכוש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עבירת אלימות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נשק או רכוש מסוג עוון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 תקופת המאסר שנגזרה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משעל פי גזר הדין בעניין אבראהים שהניחה המאשימה לפניי הכספים אשר נשדדו הושבו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ונוכח גילו של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מצאתי להטיל עליו ענישה בעלת ביטוי כספי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30706-05-21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סואעד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40a.b.1." TargetMode="External"/><Relationship Id="rId8" Type="http://schemas.openxmlformats.org/officeDocument/2006/relationships/hyperlink" Target="http://www.nevo.co.il/law/70301/340a.b.2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340a.b.1.;340a.b.2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case/26968672" TargetMode="External"/><Relationship Id="rId22" Type="http://schemas.openxmlformats.org/officeDocument/2006/relationships/hyperlink" Target="http://www.nevo.co.il/case/20446644" TargetMode="External"/><Relationship Id="rId23" Type="http://schemas.openxmlformats.org/officeDocument/2006/relationships/hyperlink" Target="http://www.nevo.co.il/case/5906249" TargetMode="External"/><Relationship Id="rId24" Type="http://schemas.openxmlformats.org/officeDocument/2006/relationships/hyperlink" Target="http://www.nevo.co.il/case/21472799" TargetMode="External"/><Relationship Id="rId25" Type="http://schemas.openxmlformats.org/officeDocument/2006/relationships/hyperlink" Target="http://www.nevo.co.il/case/5676908" TargetMode="External"/><Relationship Id="rId26" Type="http://schemas.openxmlformats.org/officeDocument/2006/relationships/hyperlink" Target="http://www.nevo.co.il/case/7773349" TargetMode="External"/><Relationship Id="rId27" Type="http://schemas.openxmlformats.org/officeDocument/2006/relationships/hyperlink" Target="http://www.nevo.co.il/case/25812356" TargetMode="External"/><Relationship Id="rId28" Type="http://schemas.openxmlformats.org/officeDocument/2006/relationships/hyperlink" Target="http://www.nevo.co.il/case/26071069" TargetMode="External"/><Relationship Id="rId29" Type="http://schemas.openxmlformats.org/officeDocument/2006/relationships/hyperlink" Target="http://www.nevo.co.il/case/23750584" TargetMode="External"/><Relationship Id="rId30" Type="http://schemas.openxmlformats.org/officeDocument/2006/relationships/hyperlink" Target="http://www.nevo.co.il/case/22508238" TargetMode="External"/><Relationship Id="rId31" Type="http://schemas.openxmlformats.org/officeDocument/2006/relationships/hyperlink" Target="http://www.nevo.co.il/case/23398495" TargetMode="External"/><Relationship Id="rId32" Type="http://schemas.openxmlformats.org/officeDocument/2006/relationships/hyperlink" Target="http://www.nevo.co.il/case/11328863" TargetMode="External"/><Relationship Id="rId33" Type="http://schemas.openxmlformats.org/officeDocument/2006/relationships/hyperlink" Target="http://www.nevo.co.il/case/27072797" TargetMode="External"/><Relationship Id="rId34" Type="http://schemas.openxmlformats.org/officeDocument/2006/relationships/hyperlink" Target="http://www.nevo.co.il/case/26717684" TargetMode="External"/><Relationship Id="rId35" Type="http://schemas.openxmlformats.org/officeDocument/2006/relationships/hyperlink" Target="http://www.nevo.co.il/case/5933664" TargetMode="External"/><Relationship Id="rId36" Type="http://schemas.openxmlformats.org/officeDocument/2006/relationships/hyperlink" Target="http://www.nevo.co.il/law/70301/40ja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2023-05-08T09:11:00Z</dcterms:created>
  <dc:creator> </dc:creator>
  <dc:description/>
  <cp:keywords/>
  <dc:language>en-IL</dc:language>
  <cp:lastModifiedBy>h1</cp:lastModifiedBy>
  <dcterms:modified xsi:type="dcterms:W3CDTF">2023-05-08T09:11:00Z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סואעד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26968672;20446644;5906249;21472799;5676908;7773349;25812356;26071069;23750584;22508238;23398495;11328863;27072797;26717684;5933664</vt:lpwstr>
  </property>
  <property fmtid="{D5CDD505-2E9C-101B-9397-08002B2CF9AE}" pid="9" name="CITY">
    <vt:lpwstr>חי'</vt:lpwstr>
  </property>
  <property fmtid="{D5CDD505-2E9C-101B-9397-08002B2CF9AE}" pid="10" name="DATE">
    <vt:lpwstr>20220301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70301/402.b;029:4;144.a;144.b;340a.b.1;340a.b.2;275;40ja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30706</vt:lpwstr>
  </property>
  <property fmtid="{D5CDD505-2E9C-101B-9397-08002B2CF9AE}" pid="22" name="NEWPARTB">
    <vt:lpwstr>05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390020220301</vt:lpwstr>
  </property>
  <property fmtid="{D5CDD505-2E9C-101B-9397-08002B2CF9AE}" pid="34" name="TYPE_N_DATE">
    <vt:lpwstr>39020220301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