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3087-02-11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שקרא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27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יולי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2011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יהודית אמסטרדם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איתי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נעמן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לאל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שקרא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איתן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און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אורהן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תורכ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מחמור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נעאמנה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</w:rPr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  <w:t>.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תייסיר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ריפי</w:t>
            </w:r>
            <w:r>
              <w:rPr>
                <w:rFonts w:ascii="Arial" w:hAnsi="Arial" w:eastAsia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מנשה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סלטון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נאשמים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פתח דבר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הנאשמים הורשעו 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הודאתם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שהחזיקו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מטען חבלה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עבירה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bookmarkStart w:id="9" w:name="ABSTRACT_END"/>
      <w:bookmarkEnd w:id="9"/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חוק העונשין</w:t>
      </w:r>
      <w:r>
        <w:rPr>
          <w:rFonts w:cs="Arial" w:ascii="Arial" w:hAnsi="Arial"/>
          <w:rtl w:val="true"/>
        </w:rPr>
        <w:t>").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הנטען 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עובר לתאריך </w:t>
      </w:r>
      <w:r>
        <w:rPr>
          <w:rFonts w:cs="Arial" w:ascii="Arial" w:hAnsi="Arial"/>
        </w:rPr>
        <w:t>24.10.2010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במועד שאינו יודע למאשימה הסתירו הנאשמים או מי מטעמם מטען חבלה בחצר בית מגוריו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ברח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יפת </w:t>
      </w:r>
      <w:r>
        <w:rPr>
          <w:rFonts w:cs="Arial" w:ascii="Arial" w:hAnsi="Arial"/>
        </w:rPr>
        <w:t>228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ביפו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הסדר הטיעון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 בין המאשימה לנאשמים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תוקן כתב האישום באופן שנמחקה ממנו העבירה של קשירת קשר לביצוע פשע ונשיאת 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קשירת קשר בין הנאשמים לשאת מטען חבלה ולהעבירו ממקום אחד למשנהו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נמחקה העובדה שנאשם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ניגב את המטען בנייר עיתון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הגיעו להסדר טיעון גם בעניין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עתרו הצדדים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להטיל על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מאסר בן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נאשמים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מאסר בן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מאסר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הוסכם שימי המעצר ינוכו מתקופת המאסר של כל הנאשמים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עברם הפלילי של הנאשמים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רישום ללא הרשעה 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לנוער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בגין התנהגות פרועה במקום ציבורי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ושלושה רישומים נוספים ללא הרשעה של בימ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לנוער 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אביב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בגין 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 ונטישה במקום 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נהיגת רכב ללא רישיון וללא פוליסת ביטוח 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תוקף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בכוונה לגנוב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חבלה במזיד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וגניבה מרכב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תקיפת בת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זוג ואיומים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הרשעה בעבירה של גניבה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וחבלה במזיד ברכב ופריצה לרכב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 מכביד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עבירה של החזקת סמים שלא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לריצוי בעבודות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בקבלת נכסים שהושגו בפשע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פריצה לרכב בכוונה לגנוב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גניבה מרכב וחבלה במזיד לרכב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כן הורשע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בעבירה של  קשירת קשר ופציעה שלא כדין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2001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ר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בגין עבירה זו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כולל הפעלת מאסר על תנאי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הורשע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בגרימת חבלה כשהעבריין מזוין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נשיאת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חבלה חמורה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בגין עבירות אלו נדון למאסר בן </w:t>
      </w:r>
      <w:r>
        <w:rPr>
          <w:rFonts w:cs="Arial" w:ascii="Arial" w:hAnsi="Arial"/>
        </w:rPr>
        <w:t>32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כולל הפעלת מאסר על תנאי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בקבלת דבר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וזיוף בכוונה לקבל דבר במרמה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בגין עבירות אלו נדון למאסר לתקופה בת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אף הורשע בגין עבירת איומים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ונדון לעונש מאסר בן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בגין הונאה בכרטיס חיוב וניסיון לקבל דבר במרמה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נאשם זה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ובגין העסקת תושב זר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למאסר בן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למאסר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בגין החזקת סמים שלא לצריכה עצמית והחזקת כלים להכנת סם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נדון למאסר לתקופה בת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בגין קשירת קשר לפשע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שימוש במסמך מזויף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מרמה בנסיבות מחמירות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רישום ללא הרשעה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שנת </w:t>
      </w:r>
      <w:r>
        <w:rPr>
          <w:rFonts w:cs="Arial" w:ascii="Arial" w:hAnsi="Arial"/>
        </w:rPr>
        <w:t>2004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בגין עבירת שבל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וכן פריצה לרכב בכוונה לגנוב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2005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 בגין שוד מזוין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בשל העלבת עובד ציבור הוטלה עליו התחייבות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2010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ד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טיעוני באי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-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כוח הצדדים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כוח הצדדים עתרו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לכבד את הסדר הטיעון בציינם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קשיים ראייתיים הביאו לתיקון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והודאת הנאשמים במסגרת הסדר הטיעון חסכה מזמנו של 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וייתרה הבאת עדים 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לדבריהם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האבחנה בענישה שבין הנאשמים נובעת משקילת הנתונים האישיים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ההרשעות הקודמות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הנתונים הראייתיים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 הנאשמים ונטילת האחריות על ידם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בה משום הבעת חרטה על המעשה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sz w:val="28"/>
          <w:szCs w:val="28"/>
          <w:rtl w:val="true"/>
        </w:rPr>
        <w:t>.</w:t>
        <w:tab/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עסקינן בעבירה 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שעניינה הסתרת מטען חבלה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 הנאשמים או מי מטעמם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כבר נאמר לא אחת בהלכה הפסוקה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מידת העונש המוטלת בגין עבירה הקשורה לנשק מושפעת מפוטנציאל הסיכון הרב הטמון בנשק המוחזק שלא כדין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בעת גזירת הדין נותן דעתו לסוג הנשק המוחזק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לכמותו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לתכלית שלשמה הוא הוחזק ולסכנה המוחשית שייעשה בו שימוש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</w:t>
      </w:r>
      <w:r>
        <w:rPr>
          <w:rFonts w:cs="Arial" w:ascii="Arial" w:hAnsi="Arial"/>
          <w:rtl w:val="true"/>
        </w:rPr>
        <w:t xml:space="preserve">: </w:t>
      </w:r>
      <w:hyperlink r:id="rId6"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ש </w:t>
        </w:r>
        <w:r>
          <w:rPr>
            <w:rStyle w:val="Hyperlink"/>
            <w:rFonts w:cs="Arial" w:ascii="Arial" w:hAnsi="Arial"/>
          </w:rPr>
          <w:t>625/82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חלמי אבו מוך נ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[</w:t>
      </w:r>
      <w:r>
        <w:rPr>
          <w:rFonts w:ascii="Arial" w:hAnsi="Arial" w:cs="Arial"/>
          <w:rtl w:val="true"/>
        </w:rPr>
        <w:t>לא פורסם</w:t>
      </w:r>
      <w:r>
        <w:rPr>
          <w:rFonts w:cs="Arial" w:ascii="Arial" w:hAnsi="Arial"/>
          <w:rtl w:val="true"/>
        </w:rPr>
        <w:t>]).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קל וחומר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מדובר בנשק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שעל פי טיבו אינו מיועד להגנה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ושימוש בו יכול להביא להרג ללא הבחנה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יש בהחזקה של נשק מסוג זה חומרה מיוחדת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אשר על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במקרים של החזקת לבנת חבלה או רימון רסס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נדונו המחזיקים לעונשי מאסר לתקופות ממושכות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לנאשמים אין עבר פלילי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יש להם עבר פלילי כמפורט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והחזקת נשק על ידי אנשים בעלי עבר פלילי מעלה את פוטנציאל הסיכון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אף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אכבד את הסדר הטיעון בשל העובדה שהמאשימה הסכימה לו עקב קשיים ראייתיים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האבחנה בענישה בין הנאשמים הינה פועל יוצא לעברם הפלילי השונה של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ולעובדה שהעבירה האחרונה של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היא משנת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לאור כל האמור לעיל אני מטילה על הנאשמים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1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</w:r>
    </w:p>
    <w:p>
      <w:pPr>
        <w:pStyle w:val="Normal"/>
        <w:spacing w:lineRule="auto" w:line="360"/>
        <w:ind w:firstLine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27.01.2011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28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העבירה בה הורשע או כל עבירת אלימות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 xml:space="preserve"> -</w:t>
      </w:r>
      <w:r>
        <w:rPr>
          <w:rFonts w:cs="Arial" w:ascii="Arial" w:hAnsi="Arial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 xml:space="preserve">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24.01.2011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28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העבירה בה הורשע או כל עבירת אלימות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על נאשם </w:t>
      </w:r>
      <w:r>
        <w:rPr>
          <w:rFonts w:cs="Arial" w:ascii="Arial" w:hAnsi="Arial"/>
          <w:b/>
          <w:bCs/>
        </w:rPr>
        <w:t>3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החל מיום מעצרו בתאריך </w:t>
      </w:r>
      <w:r>
        <w:rPr>
          <w:rFonts w:cs="Arial" w:ascii="Arial" w:hAnsi="Arial"/>
        </w:rPr>
        <w:t>19.01.2011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630" w:start="288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והתנאי הוא שלא יעבור העבירה בה הורשע או כל עבירת אלימות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 ממאסר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הודע לנאשמים על זכותם לערער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 לביהמ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ש העליון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יהודית אמסטרדם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spacing w:lineRule="auto" w:line="360"/>
        <w:ind w:hanging="63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5467831354678313</w:t>
      </w:r>
    </w:p>
    <w:tbl>
      <w:tblPr>
        <w:bidiVisual w:val="true"/>
        <w:tblW w:w="2708" w:type="dxa"/>
        <w:jc w:val="start"/>
        <w:tblInd w:w="-34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08"/>
      </w:tblGrid>
      <w:tr>
        <w:trPr>
          <w:trHeight w:val="2157" w:hRule="atLeast"/>
        </w:trPr>
        <w:tc>
          <w:tcPr>
            <w:tcW w:w="270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rtl w:val="true"/>
              </w:rPr>
              <w:t>ניתן היום</w:t>
            </w:r>
            <w:r>
              <w:rPr>
                <w:rFonts w:cs="Arial" w:ascii="Arial" w:hAnsi="Arial"/>
                <w:rtl w:val="true"/>
              </w:rPr>
              <w:t xml:space="preserve">,  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ה תמוז תשע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cs="Arial" w:ascii="Arial" w:hAnsi="Arial"/>
              </w:rPr>
              <w:t>27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 xml:space="preserve">יולי </w:t>
            </w:r>
            <w:r>
              <w:rPr>
                <w:rFonts w:cs="Arial" w:ascii="Arial" w:hAnsi="Arial"/>
              </w:rPr>
              <w:t>2011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בנוכחות הצדדים</w:t>
            </w:r>
            <w:r>
              <w:rPr>
                <w:rFonts w:cs="Arial" w:ascii="Arial" w:hAnsi="Arial"/>
                <w:rtl w:val="true"/>
              </w:rPr>
              <w:t xml:space="preserve">. </w:t>
            </w:r>
          </w:p>
        </w:tc>
      </w:tr>
      <w:tr>
        <w:trPr/>
        <w:tc>
          <w:tcPr>
            <w:tcW w:w="2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יהודית אמסטרדם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3087-02-11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לאל שקרא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17929065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2016-05-03T11:59:00Z</dcterms:created>
  <dc:creator> </dc:creator>
  <dc:description/>
  <cp:keywords/>
  <dc:language>en-IL</dc:language>
  <cp:lastModifiedBy>hofit</cp:lastModifiedBy>
  <dcterms:modified xsi:type="dcterms:W3CDTF">2016-05-03T11:59:00Z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ג'לאל שקרא;אורהן תורכ;תייסיר ריפי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17929065</vt:lpwstr>
  </property>
  <property fmtid="{D5CDD505-2E9C-101B-9397-08002B2CF9AE}" pid="9" name="CITY">
    <vt:lpwstr>ת"א</vt:lpwstr>
  </property>
  <property fmtid="{D5CDD505-2E9C-101B-9397-08002B2CF9AE}" pid="10" name="DATE">
    <vt:lpwstr>20110727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יהודית אמסטרדם</vt:lpwstr>
  </property>
  <property fmtid="{D5CDD505-2E9C-101B-9397-08002B2CF9AE}" pid="14" name="LAWLISTTMP1">
    <vt:lpwstr>70301/144.a</vt:lpwstr>
  </property>
  <property fmtid="{D5CDD505-2E9C-101B-9397-08002B2CF9AE}" pid="15" name="LAWYER">
    <vt:lpwstr>איתי נעמן;איתן און;מחמור נעאמנה;מנשה סלטון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3087</vt:lpwstr>
  </property>
  <property fmtid="{D5CDD505-2E9C-101B-9397-08002B2CF9AE}" pid="22" name="NEWPARTB">
    <vt:lpwstr>02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390020110727</vt:lpwstr>
  </property>
  <property fmtid="{D5CDD505-2E9C-101B-9397-08002B2CF9AE}" pid="34" name="TYPE_N_DATE">
    <vt:lpwstr>39020110727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