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2381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30962-12-09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בדלבייב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7128" w:type="dxa"/>
            <w:gridSpan w:val="3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30974-12-09</w:t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5"/>
        <w:gridCol w:w="360"/>
        <w:gridCol w:w="5559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ניסון בדלבייב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3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59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רחל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שיבר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נאשמים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ניל סיימון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מדינת ישראל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ניסון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בדלבייב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2" w:name="LawTable"/>
      <w:bookmarkEnd w:id="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color w:val="FF0000"/>
          <w:sz w:val="28"/>
        </w:rPr>
      </w:pPr>
      <w:r>
        <w:rPr>
          <w:rFonts w:cs="FrankRuehl" w:ascii="FrankRuehl" w:hAnsi="FrankRuehl"/>
          <w:b/>
          <w:color w:val="FF0000"/>
          <w:sz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</w:rPr>
      </w:pPr>
      <w:r>
        <w:rPr>
          <w:rFonts w:ascii="FrankRuehl" w:hAnsi="FrankRuehl" w:cs="FrankRuehl"/>
          <w:color w:val="FF0000"/>
          <w:rtl w:val="true"/>
        </w:rPr>
        <w:t>חקיקה שאוזכרה</w:t>
      </w:r>
      <w:r>
        <w:rPr>
          <w:rFonts w:cs="FrankRuehl" w:ascii="FrankRuehl" w:hAnsi="FrankRuehl"/>
          <w:color w:val="FF0000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368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 xml:space="preserve">ב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379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380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382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382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color w:val="0000FF"/>
          <w:sz w:val="28"/>
          <w:szCs w:val="28"/>
          <w:u w:val="single"/>
        </w:rPr>
      </w:pPr>
      <w:r>
        <w:rPr>
          <w:rFonts w:cs="Arial" w:ascii="Arial" w:hAnsi="Arial"/>
          <w:b/>
          <w:bCs/>
          <w:color w:val="0000FF"/>
          <w:sz w:val="28"/>
          <w:szCs w:val="28"/>
          <w:u w:val="single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הורשע על פי הודייתו בעבירות של תקיפה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379</w:t>
        </w:r>
        <w:r>
          <w:rPr>
            <w:rStyle w:val="Hyperlink"/>
            <w:rtl w:val="true"/>
          </w:rPr>
          <w:t xml:space="preserve"> ,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 xml:space="preserve">תקיפה הגורמת חבלה של ממש 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hyperlink r:id="rId12">
        <w:r>
          <w:rPr>
            <w:rStyle w:val="Hyperlink"/>
          </w:rPr>
          <w:t>382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 xml:space="preserve">תקיפת קטין עלידי אחראי שגרמה לחבלה של ממש 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 xml:space="preserve">ב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לחוק העונשין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 xml:space="preserve">וכן עבירת איומים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המתלוננים בתיק זה הינם אשתו של הנאשם במועד ביצוע העבירות וארבעת ילדיהם המשותפים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במהלך שנת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בקשה המתלוננת מהנאשם שיקנה משחקים לאחד מילדהם</w:t>
      </w:r>
      <w:r>
        <w:rPr>
          <w:rtl w:val="true"/>
        </w:rPr>
        <w:t xml:space="preserve">. </w:t>
      </w:r>
      <w:r>
        <w:rPr>
          <w:rtl w:val="true"/>
        </w:rPr>
        <w:t>בתגובה קילל אותה הנאשם סטר וזרק מזלג לעברה</w:t>
      </w:r>
      <w:r>
        <w:rPr>
          <w:rtl w:val="true"/>
        </w:rPr>
        <w:t xml:space="preserve">. </w:t>
      </w:r>
      <w:r>
        <w:rPr>
          <w:rtl w:val="true"/>
        </w:rPr>
        <w:t xml:space="preserve">בין חודש אוקטובר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 xml:space="preserve">לחודש מאי </w:t>
      </w:r>
      <w:r>
        <w:rPr/>
        <w:t>2009</w:t>
      </w:r>
      <w:r>
        <w:rPr>
          <w:rtl w:val="true"/>
        </w:rPr>
        <w:t xml:space="preserve"> , </w:t>
      </w:r>
      <w:r>
        <w:rPr>
          <w:rtl w:val="true"/>
        </w:rPr>
        <w:t xml:space="preserve">עת שהו בביתם </w:t>
      </w:r>
      <w:r>
        <w:rPr>
          <w:rtl w:val="true"/>
        </w:rPr>
        <w:t xml:space="preserve">, </w:t>
      </w:r>
      <w:r>
        <w:rPr>
          <w:rtl w:val="true"/>
        </w:rPr>
        <w:t xml:space="preserve">פנה הנאשם למתלוננת שכן חשד בה כי לקחה ממנו </w:t>
      </w:r>
      <w:r>
        <w:rPr/>
        <w:t>2000</w:t>
      </w:r>
      <w:r>
        <w:rPr>
          <w:rtl w:val="true"/>
        </w:rPr>
        <w:t xml:space="preserve"> ₪. </w:t>
      </w:r>
      <w:r>
        <w:rPr>
          <w:rtl w:val="true"/>
        </w:rPr>
        <w:t>המתלוננת הכחישה הדבר בפני הנאשם ובתגובה הנאשם בעט בה</w:t>
      </w:r>
      <w:r>
        <w:rPr>
          <w:rtl w:val="true"/>
        </w:rPr>
        <w:t xml:space="preserve">. </w:t>
      </w:r>
      <w:r>
        <w:rPr>
          <w:rtl w:val="true"/>
        </w:rPr>
        <w:t>כתוצאה מהבעיטות נגרמו למתלוננת שטפי דם ברגליה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בתאריך </w:t>
      </w:r>
      <w:r>
        <w:rPr/>
        <w:t>14.12.09</w:t>
      </w:r>
      <w:r>
        <w:rPr>
          <w:rtl w:val="true"/>
        </w:rPr>
        <w:t xml:space="preserve"> </w:t>
      </w:r>
      <w:r>
        <w:rPr>
          <w:rtl w:val="true"/>
        </w:rPr>
        <w:t>עת שהו בביתם</w:t>
      </w:r>
      <w:r>
        <w:rPr>
          <w:rtl w:val="true"/>
        </w:rPr>
        <w:t xml:space="preserve">, </w:t>
      </w:r>
      <w:r>
        <w:rPr>
          <w:rtl w:val="true"/>
        </w:rPr>
        <w:t>ביקש הנאשם מהמתלוננת להכין לו קפה</w:t>
      </w:r>
      <w:r>
        <w:rPr>
          <w:rtl w:val="true"/>
        </w:rPr>
        <w:t xml:space="preserve">, </w:t>
      </w:r>
      <w:r>
        <w:rPr>
          <w:rtl w:val="true"/>
        </w:rPr>
        <w:t>מסרבה המתלוננת זרק הנאשם לעברה מזלג</w:t>
      </w:r>
      <w:r>
        <w:rPr>
          <w:rtl w:val="true"/>
        </w:rPr>
        <w:t xml:space="preserve">, </w:t>
      </w:r>
      <w:r>
        <w:rPr>
          <w:rtl w:val="true"/>
        </w:rPr>
        <w:t>המזלג לא פגע בה ופגע בקיר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בין השנים </w:t>
      </w:r>
      <w:r>
        <w:rPr/>
        <w:t>2003-2009</w:t>
      </w:r>
      <w:r>
        <w:rPr>
          <w:rtl w:val="true"/>
        </w:rPr>
        <w:t xml:space="preserve"> </w:t>
      </w:r>
      <w:r>
        <w:rPr>
          <w:rtl w:val="true"/>
        </w:rPr>
        <w:t>במספר מועדים  עת שהו הנאשם והמתלוננת בביתם כעס הנאשם על המתלוננת על כך שאינה מוצאת מקום עבודה</w:t>
      </w:r>
      <w:r>
        <w:rPr>
          <w:rtl w:val="true"/>
        </w:rPr>
        <w:t xml:space="preserve">, </w:t>
      </w:r>
      <w:r>
        <w:rPr>
          <w:rtl w:val="true"/>
        </w:rPr>
        <w:t>צעק עליה</w:t>
      </w:r>
      <w:r>
        <w:rPr>
          <w:rtl w:val="true"/>
        </w:rPr>
        <w:t xml:space="preserve">, </w:t>
      </w:r>
      <w:r>
        <w:rPr>
          <w:rtl w:val="true"/>
        </w:rPr>
        <w:t>זרק עליה נעליים שפגעו בה וכן סטר 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בין השנים </w:t>
      </w:r>
      <w:r>
        <w:rPr/>
        <w:t>2001-2009</w:t>
      </w:r>
      <w:r>
        <w:rPr>
          <w:rtl w:val="true"/>
        </w:rPr>
        <w:t xml:space="preserve"> </w:t>
      </w:r>
      <w:r>
        <w:rPr>
          <w:rtl w:val="true"/>
        </w:rPr>
        <w:t>נהג הנאשם להכות את ילדיו הקטינים בישבנם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במהלך חודש יוני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 xml:space="preserve">היכה הנאשם את בנו יליד שנת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וגרם לו חבלה במצחו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/>
        <w:t>24.11.09</w:t>
      </w:r>
      <w:r>
        <w:rPr>
          <w:rtl w:val="true"/>
        </w:rPr>
        <w:t xml:space="preserve"> </w:t>
      </w:r>
      <w:r>
        <w:rPr>
          <w:rtl w:val="true"/>
        </w:rPr>
        <w:t xml:space="preserve">היכה הנאשם את בנו יליד שנת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בגבו וגרם לו להמטומה גדולה בגב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 </w:t>
      </w:r>
      <w:r>
        <w:rPr/>
        <w:t>30.11.09</w:t>
      </w:r>
      <w:r>
        <w:rPr>
          <w:rtl w:val="true"/>
        </w:rPr>
        <w:t xml:space="preserve"> </w:t>
      </w:r>
      <w:r>
        <w:rPr>
          <w:rtl w:val="true"/>
        </w:rPr>
        <w:t xml:space="preserve">איים הנאשם על בתו ילידת </w:t>
      </w:r>
      <w:r>
        <w:rPr/>
        <w:t>95</w:t>
      </w:r>
      <w:r>
        <w:rPr>
          <w:rtl w:val="true"/>
        </w:rPr>
        <w:t xml:space="preserve">' </w:t>
      </w:r>
      <w:r>
        <w:rPr>
          <w:rtl w:val="true"/>
        </w:rPr>
        <w:t>באומרו תבואי הביתה ואני יראה לך מה זה זאת עקב חשד שהינה נפגשת עם גבר ולא נמצאת בחוג כפי שדיווחה 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 אין עבר פלילי קודם</w:t>
      </w:r>
      <w:r>
        <w:rPr>
          <w:rtl w:val="true"/>
        </w:rPr>
        <w:t xml:space="preserve">. </w:t>
      </w:r>
      <w:r>
        <w:rPr>
          <w:rtl w:val="true"/>
        </w:rPr>
        <w:t xml:space="preserve">בדיון שהתקיים ביום </w:t>
      </w:r>
      <w:r>
        <w:rPr/>
        <w:t>15.7.10</w:t>
      </w:r>
      <w:r>
        <w:rPr>
          <w:rtl w:val="true"/>
        </w:rPr>
        <w:t xml:space="preserve"> </w:t>
      </w:r>
      <w:r>
        <w:rPr>
          <w:rtl w:val="true"/>
        </w:rPr>
        <w:t>הצדדים הציגו הסדר טעון שלפיו הנאשם יודה בכתב האישום המתוקן</w:t>
      </w:r>
      <w:r>
        <w:rPr>
          <w:rtl w:val="true"/>
        </w:rPr>
        <w:t xml:space="preserve">, </w:t>
      </w:r>
      <w:r>
        <w:rPr>
          <w:rtl w:val="true"/>
        </w:rPr>
        <w:t>ישלח לקבלת תסקיר של שרות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וכי במידה ויתקבל תסקיר לפיו הנאשם נוטל אחריות מלאה על מעשיו ומסכים לטיפול שיציע שרות המבחן ולפקוח אזי הצדדים יעתרו במשותף לעונשים של מאסר בן חודש 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שבועות שינוכה מתקופת מעצרו כך שלא ירצה עונש מאסר נוסף </w:t>
      </w:r>
      <w:r>
        <w:rPr>
          <w:rtl w:val="true"/>
        </w:rPr>
        <w:t xml:space="preserve">, </w:t>
      </w:r>
      <w:r>
        <w:rPr>
          <w:rtl w:val="true"/>
        </w:rPr>
        <w:t>מאסר על תנאי ופקוח שרות מבחן</w:t>
      </w:r>
      <w:r>
        <w:rPr>
          <w:rtl w:val="true"/>
        </w:rPr>
        <w:t xml:space="preserve">.  </w:t>
      </w:r>
      <w:r>
        <w:rPr>
          <w:rtl w:val="true"/>
        </w:rPr>
        <w:t>כמו כן הסכימו הצדדים שבמידה והתסקיר לא יעמוד בתנאים הנ</w:t>
      </w:r>
      <w:r>
        <w:rPr>
          <w:rtl w:val="true"/>
        </w:rPr>
        <w:t>"</w:t>
      </w:r>
      <w:r>
        <w:rPr>
          <w:rtl w:val="true"/>
        </w:rPr>
        <w:t>ל אזי יטענו לעונש באופן פתוח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מהתסקירים שהגיעו משרות המבחן עולה שהנאשם איננו מעונין בקשר טיפולי </w:t>
      </w:r>
      <w:r>
        <w:rPr>
          <w:rtl w:val="true"/>
        </w:rPr>
        <w:t xml:space="preserve">, </w:t>
      </w:r>
      <w:r>
        <w:rPr>
          <w:rtl w:val="true"/>
        </w:rPr>
        <w:t>אינו נוטל אחריות על מעשיו  ונוטה להאשים את המתלוננת ואת גורמי הממסד במצבו הנוכחי</w:t>
      </w:r>
      <w:r>
        <w:rPr>
          <w:rtl w:val="true"/>
        </w:rPr>
        <w:t xml:space="preserve">. </w:t>
      </w:r>
      <w:r>
        <w:rPr>
          <w:rtl w:val="true"/>
        </w:rPr>
        <w:t>כמו כן שרות המבחן התרשם שהנאשם רואה באלימות כנגד ילדיו כדרך חינוכית לגיטימית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ההסדר כפי שהוצג על ידי הצדדים אינו רלוונטי ולפיכך ב</w:t>
      </w:r>
      <w:r>
        <w:rPr>
          <w:rtl w:val="true"/>
        </w:rPr>
        <w:t>"</w:t>
      </w:r>
      <w:r>
        <w:rPr>
          <w:rtl w:val="true"/>
        </w:rPr>
        <w:t>כ המאשימה טען לעונש של מאסר מאחורי סורג ובריח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 בעובדה שלנאשם אין עבר פלילי קודם</w:t>
      </w:r>
      <w:r>
        <w:rPr>
          <w:rtl w:val="true"/>
        </w:rPr>
        <w:t xml:space="preserve">, </w:t>
      </w:r>
      <w:r>
        <w:rPr>
          <w:rtl w:val="true"/>
        </w:rPr>
        <w:t>סברתי שראוי לקבל חוות דעת של הממונה על עבודות השרות על מנת שתבדק האפשרות שעונש המאסר שיושת עליו ירוצה בדרך של עבודות שרות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ריבוי המקרים והתמשכותם על פני מספר שנים דומני שאין מקום בתקופת מאסר בדרך של עבודות שרות שתהיה קצרה יותר מהתקופה המקסימלית שנקבעה בחוק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כל האמור לעיל הנני  משית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 </w:t>
      </w:r>
      <w:r>
        <w:rPr>
          <w:rtl w:val="true"/>
        </w:rPr>
        <w:t>חודשי  מאסר בפועל שיכול וירוצו בדרך של עבודות שרות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 ירצה את עבודות השרות במפקדת מחוז מרכז של שב</w:t>
      </w:r>
      <w:r>
        <w:rPr>
          <w:rtl w:val="true"/>
        </w:rPr>
        <w:t>"</w:t>
      </w:r>
      <w:r>
        <w:rPr>
          <w:rtl w:val="true"/>
        </w:rPr>
        <w:t>ס ברמלה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הנאשם יתייצב ביום </w:t>
      </w:r>
      <w:r>
        <w:rPr/>
        <w:t>22.9.11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08.00</w:t>
      </w:r>
      <w:r>
        <w:rPr>
          <w:rtl w:val="true"/>
        </w:rPr>
        <w:t xml:space="preserve"> </w:t>
      </w:r>
      <w:r>
        <w:rPr>
          <w:rtl w:val="true"/>
        </w:rPr>
        <w:t xml:space="preserve">במפקדת מחוז מרכז יחידת עבודות שרות ברמלה </w:t>
      </w:r>
      <w:r>
        <w:rPr>
          <w:rtl w:val="true"/>
        </w:rPr>
        <w:tab/>
      </w:r>
      <w:r>
        <w:rPr>
          <w:rtl w:val="true"/>
        </w:rPr>
        <w:t>לתחילת ריצוי עבודות השרות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אני משית על הנאשם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מהיום לא יבצע </w:t>
      </w:r>
      <w:r>
        <w:rPr>
          <w:rtl w:val="true"/>
        </w:rPr>
        <w:tab/>
      </w:r>
      <w:r>
        <w:rPr>
          <w:rtl w:val="true"/>
        </w:rPr>
        <w:t>עבירת 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הנאשם ישלם  קנס בסך של </w:t>
      </w:r>
      <w:r>
        <w:rPr/>
        <w:t>3000</w:t>
      </w:r>
      <w:r>
        <w:rPr>
          <w:rtl w:val="true"/>
        </w:rPr>
        <w:t xml:space="preserve"> ₪ , </w:t>
      </w:r>
      <w:r>
        <w:rPr>
          <w:rtl w:val="true"/>
        </w:rPr>
        <w:t xml:space="preserve">או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ימי מאסר תמורתו </w:t>
      </w:r>
      <w:r>
        <w:rPr>
          <w:rtl w:val="true"/>
        </w:rPr>
        <w:t xml:space="preserve">, </w:t>
      </w:r>
      <w:r>
        <w:rPr>
          <w:rtl w:val="true"/>
        </w:rPr>
        <w:t xml:space="preserve">זאת ב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תשלומים </w:t>
      </w:r>
      <w:r>
        <w:rPr>
          <w:rtl w:val="true"/>
        </w:rPr>
        <w:tab/>
      </w:r>
      <w:r>
        <w:rPr>
          <w:rtl w:val="true"/>
        </w:rPr>
        <w:t>חודשיים 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אשר הראשון שבהם  ישולם עד ליום </w:t>
      </w:r>
      <w:r>
        <w:rPr/>
        <w:t>14.10.11</w:t>
      </w:r>
      <w:r>
        <w:rPr>
          <w:rtl w:val="true"/>
        </w:rPr>
        <w:t xml:space="preserve">. </w:t>
      </w:r>
      <w:r>
        <w:rPr>
          <w:rtl w:val="true"/>
        </w:rPr>
        <w:t xml:space="preserve">יתרת התשלומים </w:t>
      </w:r>
      <w:r>
        <w:rPr>
          <w:rtl w:val="true"/>
        </w:rPr>
        <w:tab/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לכל חודש שאחריו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הנאשם יחתום על התחייבות כספית בסך </w:t>
      </w:r>
      <w:r>
        <w:rPr/>
        <w:t>4000</w:t>
      </w:r>
      <w:r>
        <w:rPr>
          <w:rtl w:val="true"/>
        </w:rPr>
        <w:t xml:space="preserve"> ₪ </w:t>
      </w:r>
      <w:r>
        <w:rPr>
          <w:rtl w:val="true"/>
        </w:rPr>
        <w:t xml:space="preserve">להמנע במשך שנתיים מהיום מביצוע </w:t>
      </w:r>
      <w:r>
        <w:rPr>
          <w:rtl w:val="true"/>
        </w:rPr>
        <w:tab/>
      </w:r>
      <w:r>
        <w:rPr>
          <w:rtl w:val="true"/>
        </w:rPr>
        <w:t xml:space="preserve">עבירת אלימות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ההתחייבות הכספית תחתם עוד היום במזכירות בית המשפט</w:t>
      </w:r>
      <w:r>
        <w:rPr>
          <w:rtl w:val="true"/>
        </w:rPr>
        <w:t xml:space="preserve">. </w:t>
      </w:r>
      <w:r>
        <w:rPr>
          <w:rtl w:val="true"/>
        </w:rPr>
        <w:t xml:space="preserve">היה והנאשם לא יחתום אזי </w:t>
      </w:r>
      <w:r>
        <w:rPr>
          <w:rtl w:val="true"/>
        </w:rPr>
        <w:tab/>
      </w:r>
      <w:r>
        <w:rPr>
          <w:rtl w:val="true"/>
        </w:rPr>
        <w:t xml:space="preserve">יאסר למשך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אלול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14/09/2011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הבקשה לניכוי ימי המעצר  נדחית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הנני נעתר לבקשה לעיכוב ביצוע עונש המאסר בפועל שקבעתי שירוצה בדרך של עבודות שרות זאת למשך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על מנת לאפשר לסנגור לשקול הגשת ערעור לבית המשפט המחוזי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המזכירות תשלח העתק הפרוטוקול לממונה על עבודות השרות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ככל שהנאשם הפקיד סך במזומן במסגרת תיק הב</w:t>
      </w:r>
      <w:r>
        <w:rPr>
          <w:rtl w:val="true"/>
        </w:rPr>
        <w:t>"</w:t>
      </w:r>
      <w:r>
        <w:rPr>
          <w:rtl w:val="true"/>
        </w:rPr>
        <w:t xml:space="preserve">ש הנני מורה על קיזוז הסכום מתוך הקנס בסוך </w:t>
      </w:r>
      <w:r>
        <w:rPr/>
        <w:t>3000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אלול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14/09/2011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30962-12-09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ניסון בדלבייב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אסיר</w:t>
    </w:r>
    <w:r>
      <w:rPr>
        <w:color w:val="000000"/>
        <w:sz w:val="22"/>
        <w:szCs w:val="22"/>
        <w:rtl w:val="true"/>
      </w:rPr>
      <w:t>)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68b.a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/380" TargetMode="External"/><Relationship Id="rId7" Type="http://schemas.openxmlformats.org/officeDocument/2006/relationships/hyperlink" Target="http://www.nevo.co.il/law/70301/382.b.1" TargetMode="External"/><Relationship Id="rId8" Type="http://schemas.openxmlformats.org/officeDocument/2006/relationships/hyperlink" Target="http://www.nevo.co.il/law/70301/382.c" TargetMode="External"/><Relationship Id="rId9" Type="http://schemas.openxmlformats.org/officeDocument/2006/relationships/hyperlink" Target="http://www.nevo.co.il/law/70301/379;382.b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80" TargetMode="External"/><Relationship Id="rId12" Type="http://schemas.openxmlformats.org/officeDocument/2006/relationships/hyperlink" Target="http://www.nevo.co.il/law/70301/382.c" TargetMode="External"/><Relationship Id="rId13" Type="http://schemas.openxmlformats.org/officeDocument/2006/relationships/hyperlink" Target="http://www.nevo.co.il/law/70301/368b.a" TargetMode="External"/><Relationship Id="rId14" Type="http://schemas.openxmlformats.org/officeDocument/2006/relationships/hyperlink" Target="http://www.nevo.co.il/law/70301/192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2016-06-07T13:11:00Z</dcterms:created>
  <dc:creator> </dc:creator>
  <dc:description/>
  <cp:keywords/>
  <dc:language>en-IL</dc:language>
  <cp:lastModifiedBy>hofit</cp:lastModifiedBy>
  <dcterms:modified xsi:type="dcterms:W3CDTF">2016-06-07T13:11:00Z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ניסון בדלבייב (אסיר)</vt:lpwstr>
  </property>
  <property fmtid="{D5CDD505-2E9C-101B-9397-08002B2CF9AE}" pid="4" name="CITY">
    <vt:lpwstr>רמ'</vt:lpwstr>
  </property>
  <property fmtid="{D5CDD505-2E9C-101B-9397-08002B2CF9AE}" pid="5" name="DATE">
    <vt:lpwstr>20110914</vt:lpwstr>
  </property>
  <property fmtid="{D5CDD505-2E9C-101B-9397-08002B2CF9AE}" pid="6" name="JUDGE">
    <vt:lpwstr>הישאם אבו שחאדה</vt:lpwstr>
  </property>
  <property fmtid="{D5CDD505-2E9C-101B-9397-08002B2CF9AE}" pid="7" name="LAWLISTTMP1">
    <vt:lpwstr>70301/379;382.b.1;380;382.c;368b.a;192</vt:lpwstr>
  </property>
  <property fmtid="{D5CDD505-2E9C-101B-9397-08002B2CF9AE}" pid="8" name="NEWPARTA">
    <vt:lpwstr>30962</vt:lpwstr>
  </property>
  <property fmtid="{D5CDD505-2E9C-101B-9397-08002B2CF9AE}" pid="9" name="NEWPARTB">
    <vt:lpwstr>12</vt:lpwstr>
  </property>
  <property fmtid="{D5CDD505-2E9C-101B-9397-08002B2CF9AE}" pid="10" name="NEWPARTC">
    <vt:lpwstr>09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TYPE">
    <vt:lpwstr>3</vt:lpwstr>
  </property>
  <property fmtid="{D5CDD505-2E9C-101B-9397-08002B2CF9AE}" pid="14" name="TYPE_ABS_DATE">
    <vt:lpwstr>380020110914</vt:lpwstr>
  </property>
  <property fmtid="{D5CDD505-2E9C-101B-9397-08002B2CF9AE}" pid="15" name="TYPE_N_DATE">
    <vt:lpwstr>38020110914</vt:lpwstr>
  </property>
  <property fmtid="{D5CDD505-2E9C-101B-9397-08002B2CF9AE}" pid="16" name="WORDNUMPAGES">
    <vt:lpwstr>4</vt:lpwstr>
  </property>
</Properties>
</file>