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70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השופט דניאל טפרברג 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30972-09-17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רגבי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tbl>
      <w:tblPr>
        <w:bidiVisual w:val="true"/>
        <w:tblW w:w="87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97"/>
        <w:gridCol w:w="4126"/>
        <w:gridCol w:w="3771"/>
      </w:tblGrid>
      <w:tr>
        <w:trPr>
          <w:trHeight w:val="295" w:hRule="atLeast"/>
        </w:trPr>
        <w:tc>
          <w:tcPr>
            <w:tcW w:w="8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7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גרינבאום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טארק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רגבי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חנא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מאהר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bCs/>
                <w:sz w:val="26"/>
                <w:szCs w:val="26"/>
              </w:rPr>
            </w:pPr>
            <w:bookmarkStart w:id="7" w:name="PsakDin"/>
            <w:bookmarkEnd w:id="7"/>
            <w:r>
              <w:rPr>
                <w:rFonts w:cs="FrankRuehl"/>
                <w:bCs/>
                <w:sz w:val="26"/>
                <w:sz w:val="26"/>
                <w:szCs w:val="26"/>
                <w:rtl w:val="true"/>
              </w:rPr>
              <w:t>גזר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Cs/>
                <w:sz w:val="26"/>
                <w:sz w:val="26"/>
                <w:szCs w:val="26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cs="FrankRuehl"/>
                <w:bCs/>
                <w:sz w:val="26"/>
                <w:szCs w:val="26"/>
              </w:rPr>
            </w:pPr>
            <w:r>
              <w:rPr>
                <w:rFonts w:cs="FrankRuehl"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bookmarkStart w:id="8" w:name="ABSTRACT_START"/>
      <w:bookmarkEnd w:id="8"/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התשל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1977</w:t>
      </w:r>
      <w:r>
        <w:rPr>
          <w:rFonts w:cs="FrankRuehl"/>
          <w:sz w:val="26"/>
          <w:szCs w:val="26"/>
          <w:rtl w:val="true"/>
        </w:rPr>
        <w:t xml:space="preserve"> 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>: "</w:t>
      </w:r>
      <w:r>
        <w:rPr>
          <w:rFonts w:cs="FrankRuehl"/>
          <w:sz w:val="26"/>
          <w:sz w:val="26"/>
          <w:szCs w:val="26"/>
          <w:rtl w:val="true"/>
        </w:rPr>
        <w:t>הח</w:t>
      </w:r>
      <w:r>
        <w:rPr>
          <w:rFonts w:cs="FrankRuehl"/>
          <w:sz w:val="26"/>
          <w:sz w:val="26"/>
          <w:szCs w:val="26"/>
          <w:rtl w:val="true"/>
        </w:rPr>
        <w:t>וק</w:t>
      </w:r>
      <w:r>
        <w:rPr>
          <w:rFonts w:cs="FrankRuehl"/>
          <w:sz w:val="26"/>
          <w:szCs w:val="26"/>
          <w:rtl w:val="true"/>
        </w:rPr>
        <w:t xml:space="preserve">).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חופ</w:t>
      </w:r>
      <w:r>
        <w:rPr>
          <w:rFonts w:cs="FrankRuehl"/>
          <w:sz w:val="26"/>
          <w:sz w:val="26"/>
          <w:szCs w:val="26"/>
          <w:rtl w:val="true"/>
        </w:rPr>
        <w:t>שי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המתוקן</w:t>
      </w:r>
      <w:r>
        <w:rPr>
          <w:rFonts w:cs="FrankRueh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18.8.17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14:00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</w:t>
      </w:r>
      <w:r>
        <w:rPr>
          <w:rFonts w:cs="FrankRuehl"/>
          <w:sz w:val="26"/>
          <w:sz w:val="26"/>
          <w:szCs w:val="26"/>
          <w:rtl w:val="true"/>
        </w:rPr>
        <w:t>רך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לסובחי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>: "</w:t>
      </w:r>
      <w:r>
        <w:rPr>
          <w:rFonts w:cs="FrankRuehl"/>
          <w:sz w:val="26"/>
          <w:sz w:val="26"/>
          <w:szCs w:val="26"/>
          <w:rtl w:val="true"/>
        </w:rPr>
        <w:t>סובחי</w:t>
      </w:r>
      <w:r>
        <w:rPr>
          <w:rFonts w:cs="FrankRuehl"/>
          <w:sz w:val="26"/>
          <w:szCs w:val="26"/>
          <w:rtl w:val="true"/>
        </w:rPr>
        <w:t>")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עקב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קטנוע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יאנג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רישו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51-458-13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>: "</w:t>
      </w:r>
      <w:r>
        <w:rPr>
          <w:rFonts w:cs="FrankRuehl"/>
          <w:sz w:val="26"/>
          <w:sz w:val="26"/>
          <w:szCs w:val="26"/>
          <w:rtl w:val="true"/>
        </w:rPr>
        <w:t>הקטנוע</w:t>
      </w:r>
      <w:r>
        <w:rPr>
          <w:rFonts w:cs="FrankRuehl"/>
          <w:sz w:val="26"/>
          <w:szCs w:val="26"/>
          <w:rtl w:val="true"/>
        </w:rPr>
        <w:t xml:space="preserve">")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2,000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₪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לכך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14:30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ארם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סובחי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הקטנוע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 w:val="26"/>
          <w:szCs w:val="26"/>
          <w:rtl w:val="true"/>
        </w:rPr>
        <w:t>פ</w:t>
      </w:r>
      <w:r>
        <w:rPr>
          <w:rFonts w:cs="FrankRuehl"/>
          <w:sz w:val="26"/>
          <w:szCs w:val="26"/>
        </w:rPr>
        <w:t>19-17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תמורת</w:t>
      </w:r>
      <w:r>
        <w:rPr>
          <w:rFonts w:cs="FrankRuehl"/>
          <w:sz w:val="26"/>
          <w:szCs w:val="26"/>
        </w:rPr>
        <w:t>2,400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6"/>
          <w:szCs w:val="26"/>
          <w:rtl w:val="true"/>
        </w:rPr>
        <w:t>₪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יוער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סובחי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10.6.18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FrankRuehl"/>
            <w:color w:val="0000FF"/>
            <w:sz w:val="26"/>
            <w:szCs w:val="26"/>
            <w:rtl w:val="true"/>
          </w:rPr>
          <w:t>.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</w:rPr>
          <w:t>38154-09-17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ביודעין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בתסק</w:t>
      </w:r>
      <w:r>
        <w:rPr>
          <w:rFonts w:cs="FrankRuehl"/>
          <w:sz w:val="26"/>
          <w:sz w:val="26"/>
          <w:szCs w:val="26"/>
          <w:rtl w:val="true"/>
        </w:rPr>
        <w:t>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26.6.18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רווק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בן</w:t>
      </w:r>
      <w:r>
        <w:rPr>
          <w:rFonts w:cs="FrankRuehl"/>
          <w:sz w:val="26"/>
          <w:szCs w:val="26"/>
        </w:rPr>
        <w:t>20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בירושלי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בשטיפת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מכוניו</w:t>
      </w:r>
      <w:r>
        <w:rPr>
          <w:rFonts w:cs="FrankRuehl"/>
          <w:sz w:val="26"/>
          <w:sz w:val="26"/>
          <w:szCs w:val="26"/>
          <w:rtl w:val="true"/>
        </w:rPr>
        <w:t>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בירושלי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פור</w:t>
      </w:r>
      <w:r>
        <w:rPr>
          <w:rFonts w:cs="FrankRuehl"/>
          <w:sz w:val="26"/>
          <w:sz w:val="26"/>
          <w:szCs w:val="26"/>
          <w:rtl w:val="true"/>
        </w:rPr>
        <w:t>ט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בשנת</w:t>
      </w:r>
      <w:r>
        <w:rPr>
          <w:rFonts w:cs="FrankRuehl"/>
          <w:sz w:val="26"/>
          <w:szCs w:val="26"/>
        </w:rPr>
        <w:t>98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שמיעתו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נפגע</w:t>
      </w:r>
      <w:r>
        <w:rPr>
          <w:rFonts w:cs="FrankRuehl"/>
          <w:sz w:val="26"/>
          <w:sz w:val="26"/>
          <w:szCs w:val="26"/>
          <w:rtl w:val="true"/>
        </w:rPr>
        <w:t>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במחלת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הסרט</w:t>
      </w:r>
      <w:r>
        <w:rPr>
          <w:rFonts w:cs="FrankRuehl"/>
          <w:sz w:val="26"/>
          <w:sz w:val="26"/>
          <w:szCs w:val="26"/>
          <w:rtl w:val="true"/>
        </w:rPr>
        <w:t>ן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</w:t>
      </w:r>
      <w:r>
        <w:rPr>
          <w:rFonts w:cs="FrankRuehl"/>
          <w:sz w:val="26"/>
          <w:sz w:val="26"/>
          <w:szCs w:val="26"/>
          <w:rtl w:val="true"/>
        </w:rPr>
        <w:t>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אובדנה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כמשבר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בחיי</w:t>
      </w:r>
      <w:r>
        <w:rPr>
          <w:rFonts w:cs="FrankRuehl"/>
          <w:sz w:val="26"/>
          <w:sz w:val="26"/>
          <w:szCs w:val="26"/>
          <w:rtl w:val="true"/>
        </w:rPr>
        <w:t>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אחים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</w:t>
      </w:r>
      <w:r>
        <w:rPr>
          <w:rFonts w:cs="FrankRuehl"/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תפקודו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הלימודי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ירוד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במתקן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בירושלי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מגבילים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לעבירה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לביצועה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הגנוב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נפוצים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זעיר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מפו</w:t>
      </w:r>
      <w:r>
        <w:rPr>
          <w:rFonts w:cs="FrankRuehl"/>
          <w:sz w:val="26"/>
          <w:sz w:val="26"/>
          <w:szCs w:val="26"/>
          <w:rtl w:val="true"/>
        </w:rPr>
        <w:t>רט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שהסב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הבעייתית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עצמו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התרשם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שאיפות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נורמטיבי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שיפור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והקמת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</w:t>
      </w:r>
      <w:r>
        <w:rPr>
          <w:rFonts w:cs="FrankRuehl"/>
          <w:sz w:val="26"/>
          <w:sz w:val="26"/>
          <w:szCs w:val="26"/>
          <w:rtl w:val="true"/>
        </w:rPr>
        <w:t>ן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</w:t>
      </w:r>
      <w:r>
        <w:rPr>
          <w:rFonts w:cs="FrankRuehl"/>
          <w:sz w:val="26"/>
          <w:sz w:val="26"/>
          <w:szCs w:val="26"/>
          <w:rtl w:val="true"/>
        </w:rPr>
        <w:t>וסיף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לשיקו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</w:t>
      </w:r>
      <w:r>
        <w:rPr>
          <w:rFonts w:cs="FrankRuehl"/>
          <w:sz w:val="26"/>
          <w:sz w:val="26"/>
          <w:szCs w:val="26"/>
          <w:rtl w:val="true"/>
        </w:rPr>
        <w:t>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</w:t>
      </w:r>
      <w:r>
        <w:rPr>
          <w:rFonts w:cs="FrankRuehl"/>
          <w:sz w:val="26"/>
          <w:sz w:val="26"/>
          <w:szCs w:val="26"/>
          <w:rtl w:val="true"/>
        </w:rPr>
        <w:t>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ולהתמודדות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תסכול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התערערות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נטייתו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וילדותיות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לרצידיביזם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התפקודי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להתייצבות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תעסוקתית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ולנורמטיביות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בחייו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</w:t>
      </w:r>
      <w:r>
        <w:rPr>
          <w:rFonts w:cs="FrankRuehl"/>
          <w:sz w:val="26"/>
          <w:sz w:val="26"/>
          <w:szCs w:val="26"/>
          <w:rtl w:val="true"/>
        </w:rPr>
        <w:t>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מושרשי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היא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הצעי</w:t>
      </w:r>
      <w:r>
        <w:rPr>
          <w:rFonts w:cs="FrankRuehl"/>
          <w:sz w:val="26"/>
          <w:sz w:val="26"/>
          <w:szCs w:val="26"/>
          <w:rtl w:val="true"/>
        </w:rPr>
        <w:t>ר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הרגשי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הנגרר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מחשיפה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התסכול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ומצוקתו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היא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עבורו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cs="FrankRuehl"/>
          <w:sz w:val="26"/>
          <w:szCs w:val="26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משפטינ</w:t>
      </w:r>
      <w:r>
        <w:rPr>
          <w:rFonts w:cs="FrankRuehl"/>
          <w:sz w:val="26"/>
          <w:sz w:val="26"/>
          <w:szCs w:val="26"/>
          <w:rtl w:val="true"/>
        </w:rPr>
        <w:t>ו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בפרטיות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המשתמשים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עקיפים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המצריכים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משאבים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החו</w:t>
      </w:r>
      <w:r>
        <w:rPr>
          <w:rFonts w:cs="FrankRuehl"/>
          <w:sz w:val="26"/>
          <w:sz w:val="26"/>
          <w:szCs w:val="26"/>
          <w:rtl w:val="true"/>
        </w:rPr>
        <w:t>ק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נטען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מרכז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נוסף</w:t>
      </w:r>
      <w:r>
        <w:rPr>
          <w:rFonts w:cs="FrankRuehl"/>
          <w:sz w:val="26"/>
          <w:szCs w:val="26"/>
          <w:rtl w:val="true"/>
        </w:rPr>
        <w:t xml:space="preserve">- </w:t>
      </w:r>
      <w:r>
        <w:rPr>
          <w:rFonts w:cs="FrankRuehl"/>
          <w:sz w:val="26"/>
          <w:sz w:val="26"/>
          <w:szCs w:val="26"/>
          <w:rtl w:val="true"/>
        </w:rPr>
        <w:t>סובח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2,000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בס</w:t>
      </w:r>
      <w:r>
        <w:rPr>
          <w:rFonts w:cs="FrankRuehl"/>
          <w:sz w:val="26"/>
          <w:sz w:val="26"/>
          <w:szCs w:val="26"/>
          <w:rtl w:val="true"/>
        </w:rPr>
        <w:t>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400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₪ </w:t>
      </w:r>
      <w:r>
        <w:rPr>
          <w:rFonts w:cs="FrankRuehl"/>
          <w:sz w:val="26"/>
          <w:sz w:val="26"/>
          <w:szCs w:val="26"/>
          <w:rtl w:val="true"/>
        </w:rPr>
        <w:t>נוספים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נטען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ככ</w:t>
      </w:r>
      <w:r>
        <w:rPr>
          <w:rFonts w:cs="FrankRuehl"/>
          <w:sz w:val="26"/>
          <w:sz w:val="26"/>
          <w:szCs w:val="26"/>
          <w:rtl w:val="true"/>
        </w:rPr>
        <w:t>לל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מקדים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אלו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מתייחסת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המצריכה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משמעותית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לכך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השותפים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סוב</w:t>
      </w:r>
      <w:r>
        <w:rPr>
          <w:rFonts w:cs="FrankRuehl"/>
          <w:sz w:val="26"/>
          <w:sz w:val="26"/>
          <w:szCs w:val="26"/>
          <w:rtl w:val="true"/>
        </w:rPr>
        <w:t>חי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400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₪ </w:t>
      </w:r>
      <w:r>
        <w:rPr>
          <w:rFonts w:cs="FrankRuehl"/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המשטרתי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סובחי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רבקה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פלד</w:t>
      </w:r>
      <w:r>
        <w:rPr>
          <w:rFonts w:cs="FrankRuehl"/>
          <w:sz w:val="26"/>
          <w:sz w:val="26"/>
          <w:szCs w:val="26"/>
          <w:rtl w:val="true"/>
        </w:rPr>
        <w:t>מן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24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FrankRuehl"/>
            <w:color w:val="0000FF"/>
            <w:sz w:val="26"/>
            <w:szCs w:val="26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</w:rPr>
          <w:t>10899/08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עלאא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Cs w:val="26"/>
        </w:rPr>
        <w:t>29.12.08</w:t>
      </w:r>
      <w:r>
        <w:rPr>
          <w:rFonts w:cs="FrankRuehl"/>
          <w:sz w:val="26"/>
          <w:szCs w:val="26"/>
          <w:rtl w:val="true"/>
        </w:rPr>
        <w:t>) 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 xml:space="preserve">: 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עישא</w:t>
      </w:r>
      <w:r>
        <w:rPr>
          <w:rFonts w:cs="FrankRuehl"/>
          <w:sz w:val="26"/>
          <w:szCs w:val="26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ושהייה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24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</w:t>
      </w:r>
      <w:r>
        <w:rPr>
          <w:rFonts w:cs="FrankRuehl"/>
          <w:sz w:val="26"/>
          <w:szCs w:val="26"/>
          <w:rtl w:val="true"/>
        </w:rPr>
        <w:t xml:space="preserve">, </w:t>
      </w:r>
      <w:hyperlink r:id="rId16"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FrankRuehl"/>
            <w:color w:val="0000FF"/>
            <w:sz w:val="26"/>
            <w:szCs w:val="26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</w:rPr>
          <w:t>1345/14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הדוואן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23.2.14</w:t>
      </w:r>
      <w:r>
        <w:rPr>
          <w:rFonts w:cs="FrankRuehl"/>
          <w:sz w:val="26"/>
          <w:szCs w:val="26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להל</w:t>
      </w:r>
      <w:r>
        <w:rPr>
          <w:rFonts w:cs="FrankRuehl"/>
          <w:sz w:val="26"/>
          <w:sz w:val="26"/>
          <w:szCs w:val="26"/>
          <w:rtl w:val="true"/>
        </w:rPr>
        <w:t>ן</w:t>
      </w:r>
      <w:r>
        <w:rPr>
          <w:rFonts w:cs="FrankRuehl"/>
          <w:sz w:val="26"/>
          <w:szCs w:val="26"/>
          <w:rtl w:val="true"/>
        </w:rPr>
        <w:t>: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עמאד</w:t>
      </w:r>
      <w:r>
        <w:rPr>
          <w:rFonts w:cs="FrankRuehl"/>
          <w:sz w:val="26"/>
          <w:szCs w:val="26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9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יחיד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חיובי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מוחשי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ומרתי</w:t>
      </w:r>
      <w:r>
        <w:rPr>
          <w:rFonts w:cs="FrankRuehl"/>
          <w:sz w:val="26"/>
          <w:sz w:val="26"/>
          <w:szCs w:val="26"/>
          <w:rtl w:val="true"/>
        </w:rPr>
        <w:t>ע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סיכמה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יקר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למקמו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FrankRuehl"/>
          <w:sz w:val="26"/>
          <w:szCs w:val="26"/>
        </w:rPr>
        <w:t>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FrankRuehl"/>
          <w:sz w:val="26"/>
          <w:szCs w:val="26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סובחי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לענייננו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המקרים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הפלילית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נטע</w:t>
      </w:r>
      <w:r>
        <w:rPr>
          <w:rFonts w:cs="FrankRuehl"/>
          <w:sz w:val="26"/>
          <w:sz w:val="26"/>
          <w:szCs w:val="26"/>
          <w:rtl w:val="true"/>
        </w:rPr>
        <w:t>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סובחי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</w:t>
      </w:r>
      <w:r>
        <w:rPr>
          <w:rFonts w:cs="FrankRuehl"/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נהיגה</w:t>
      </w:r>
      <w:r>
        <w:rPr>
          <w:rFonts w:cs="FrankRuehl"/>
          <w:sz w:val="26"/>
          <w:szCs w:val="26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חרט</w:t>
      </w:r>
      <w:r>
        <w:rPr>
          <w:rFonts w:cs="FrankRuehl"/>
          <w:sz w:val="26"/>
          <w:sz w:val="26"/>
          <w:szCs w:val="26"/>
          <w:rtl w:val="true"/>
        </w:rPr>
        <w:t>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שזוהי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מעידתו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הראשונה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נטען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Cs w:val="26"/>
        </w:rPr>
        <w:t>1,900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₪ </w:t>
      </w:r>
      <w:r>
        <w:rPr>
          <w:rFonts w:cs="FrankRuehl"/>
          <w:sz w:val="26"/>
          <w:sz w:val="26"/>
          <w:szCs w:val="26"/>
          <w:rtl w:val="true"/>
        </w:rPr>
        <w:t>ונמכר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</w:rPr>
        <w:t>2,000</w:t>
      </w:r>
      <w:r>
        <w:rPr>
          <w:rFonts w:cs="FrankRuehl"/>
          <w:sz w:val="26"/>
          <w:szCs w:val="26"/>
          <w:rtl w:val="true"/>
        </w:rPr>
        <w:t xml:space="preserve">- </w:t>
      </w:r>
      <w:r>
        <w:rPr>
          <w:rFonts w:cs="FrankRuehl"/>
          <w:sz w:val="26"/>
          <w:szCs w:val="26"/>
          <w:rtl w:val="true"/>
        </w:rPr>
        <w:t>₪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כלומר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הקטנוע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בסכומים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נמוכים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בחייו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צוי</w:t>
      </w:r>
      <w:r>
        <w:rPr>
          <w:rFonts w:cs="FrankRuehl"/>
          <w:sz w:val="26"/>
          <w:sz w:val="26"/>
          <w:szCs w:val="26"/>
          <w:rtl w:val="true"/>
        </w:rPr>
        <w:t>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בתסקיר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שמונת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</w:t>
      </w:r>
      <w:r>
        <w:rPr>
          <w:rFonts w:cs="FrankRuehl"/>
          <w:sz w:val="26"/>
          <w:sz w:val="26"/>
          <w:szCs w:val="26"/>
          <w:rtl w:val="true"/>
        </w:rPr>
        <w:t>ת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והאסור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וחיזקו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בחייו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FrankRuehl"/>
            <w:color w:val="0000FF"/>
            <w:sz w:val="26"/>
            <w:szCs w:val="26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6"/>
            <w:szCs w:val="26"/>
          </w:rPr>
          <w:t>13338-12-16</w:t>
        </w:r>
      </w:hyperlink>
      <w:r>
        <w:rPr>
          <w:rFonts w:cs="FrankRuehl"/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אלאטרש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</w:t>
      </w:r>
      <w:r>
        <w:rPr>
          <w:rFonts w:cs="FrankRuehl"/>
          <w:sz w:val="26"/>
          <w:sz w:val="26"/>
          <w:szCs w:val="26"/>
          <w:rtl w:val="true"/>
        </w:rPr>
        <w:t>ח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Cs w:val="26"/>
          <w:rtl w:val="true"/>
        </w:rPr>
        <w:t xml:space="preserve"> )</w:t>
      </w:r>
      <w:r>
        <w:rPr>
          <w:rFonts w:cs="FrankRuehl"/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18.6.18</w:t>
      </w:r>
      <w:r>
        <w:rPr>
          <w:rFonts w:cs="FrankRuehl"/>
          <w:sz w:val="26"/>
          <w:szCs w:val="26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בהתי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FrankRuehl"/>
          <w:sz w:val="26"/>
          <w:sz w:val="26"/>
          <w:szCs w:val="26"/>
          <w:rtl w:val="true"/>
        </w:rPr>
        <w:t>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5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בחבורה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תכנון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יילקח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הכלכלי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עובד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הוסיף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בעונשו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FrankRuehl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113</w:t>
      </w:r>
      <w:r>
        <w:rPr>
          <w:rFonts w:cs="FrankRuehl"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העונשין</w:t>
        </w:r>
      </w:hyperlink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העיקרון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עיקרון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</w:hyperlink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המבוסס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Cs w:val="26"/>
        </w:rPr>
        <w:t>1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>; (</w:t>
      </w:r>
      <w:r>
        <w:rPr>
          <w:rFonts w:cs="FrankRuehl"/>
          <w:sz w:val="26"/>
          <w:szCs w:val="26"/>
        </w:rPr>
        <w:t>2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החברתי</w:t>
      </w:r>
      <w:r>
        <w:rPr>
          <w:rFonts w:cs="FrankRuehl"/>
          <w:sz w:val="26"/>
          <w:szCs w:val="26"/>
          <w:rtl w:val="true"/>
        </w:rPr>
        <w:t>; (</w:t>
      </w:r>
      <w:r>
        <w:rPr>
          <w:rFonts w:cs="FrankRuehl"/>
          <w:sz w:val="26"/>
          <w:szCs w:val="26"/>
        </w:rPr>
        <w:t>3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הנהוגה</w:t>
      </w:r>
      <w:r>
        <w:rPr>
          <w:rFonts w:cs="FrankRuehl"/>
          <w:sz w:val="26"/>
          <w:szCs w:val="26"/>
          <w:rtl w:val="true"/>
        </w:rPr>
        <w:t>; (</w:t>
      </w:r>
      <w:r>
        <w:rPr>
          <w:rFonts w:cs="FrankRuehl"/>
          <w:sz w:val="26"/>
          <w:szCs w:val="26"/>
        </w:rPr>
        <w:t>4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ג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הבא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ובפרטיות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הרכ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</w:t>
      </w:r>
      <w:r>
        <w:rPr>
          <w:rFonts w:cs="FrankRuehl"/>
          <w:sz w:val="26"/>
          <w:sz w:val="26"/>
          <w:szCs w:val="26"/>
          <w:rtl w:val="true"/>
        </w:rPr>
        <w:t>ו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שמתקיימת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</w:rPr>
          <w:t>7163/13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כסוואני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3.8.14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start="708" w:end="851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גניבת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ולצידה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מקסימלי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FrankRuehl"/>
          <w:b/>
          <w:bCs/>
          <w:sz w:val="26"/>
          <w:szCs w:val="26"/>
          <w:rtl w:val="true"/>
        </w:rPr>
        <w:t xml:space="preserve">.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פוגעת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בקניין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בפרטיות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ובתחושת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הביטחון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המשתמשים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במובן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הצר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ומסבה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כלכלי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במובן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העלאת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פרמיות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הביטוח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ריבוי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גנבות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ר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כב</w:t>
      </w:r>
      <w:r>
        <w:rPr>
          <w:rFonts w:cs="FrankRuehl"/>
          <w:b/>
          <w:bCs/>
          <w:sz w:val="26"/>
          <w:szCs w:val="26"/>
          <w:rtl w:val="true"/>
        </w:rPr>
        <w:t>..."</w:t>
      </w:r>
      <w:r>
        <w:br w:type="page"/>
      </w:r>
    </w:p>
    <w:p>
      <w:pPr>
        <w:pStyle w:val="Normal"/>
        <w:bidi w:val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hyperlink r:id="rId23"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FrankRuehl"/>
            <w:color w:val="0000FF"/>
            <w:sz w:val="26"/>
            <w:szCs w:val="26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</w:rPr>
          <w:t>11841/04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חאפז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קרינאווי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18.1.05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</w:t>
      </w:r>
    </w:p>
    <w:p>
      <w:pPr>
        <w:pStyle w:val="Normal"/>
        <w:spacing w:lineRule="auto" w:line="360"/>
        <w:ind w:hanging="708" w:start="708" w:end="851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"         </w:t>
      </w:r>
      <w:r>
        <w:rPr>
          <w:rFonts w:cs="FrankRuehl"/>
          <w:b/>
          <w:bCs/>
          <w:sz w:val="26"/>
          <w:szCs w:val="26"/>
          <w:rtl w:val="true"/>
        </w:rPr>
        <w:t>..</w:t>
      </w:r>
      <w:r>
        <w:rPr>
          <w:rFonts w:cs="FrankRuehl"/>
          <w:b/>
          <w:bCs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Cs/>
          <w:sz w:val="26"/>
          <w:szCs w:val="26"/>
          <w:rtl w:val="true"/>
        </w:rPr>
        <w:t>"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מדינה</w:t>
      </w:r>
      <w:r>
        <w:rPr>
          <w:rFonts w:cs="FrankRuehl"/>
          <w:b/>
          <w:bCs/>
          <w:sz w:val="26"/>
          <w:szCs w:val="26"/>
          <w:rtl w:val="true"/>
        </w:rPr>
        <w:t xml:space="preserve">",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המחייבות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העברת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למבקש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ולעבריינים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מסוגו</w:t>
      </w:r>
      <w:r>
        <w:rPr>
          <w:rFonts w:cs="FrankRuehl"/>
          <w:b/>
          <w:bCs/>
          <w:sz w:val="26"/>
          <w:szCs w:val="26"/>
          <w:rtl w:val="true"/>
        </w:rPr>
        <w:t>"...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b/>
          <w:bCs/>
          <w:sz w:val="26"/>
          <w:szCs w:val="26"/>
        </w:rPr>
      </w:pPr>
      <w:r>
        <w:rPr>
          <w:rFonts w:cs="FrankRueh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 xml:space="preserve">               </w:t>
      </w:r>
      <w:r>
        <w:rPr>
          <w:rFonts w:cs="FrankRuehl"/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שבפניי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אמנם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המתבצעת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מטבעה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בספונטאניות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התרשמתי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בקפידה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שלמזלו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משטרתי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</w:t>
      </w:r>
      <w:r>
        <w:rPr>
          <w:rFonts w:cs="FrankRuehl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</w:t>
      </w:r>
      <w:r>
        <w:rPr>
          <w:rFonts w:cs="FrankRuehl"/>
          <w:sz w:val="26"/>
          <w:sz w:val="26"/>
          <w:szCs w:val="26"/>
          <w:rtl w:val="true"/>
        </w:rPr>
        <w:t>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הגררות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רגשי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רב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</w:t>
      </w:r>
      <w:r>
        <w:rPr>
          <w:rFonts w:cs="FrankRuehl"/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הנוהגת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הצדדים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מטבע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דמיון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השונים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שתכננה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בקפידה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הצטיידות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פריצה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כונתה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מתוחכמת</w:t>
      </w:r>
      <w:r>
        <w:rPr>
          <w:rFonts w:cs="FrankRuehl"/>
          <w:sz w:val="26"/>
          <w:szCs w:val="26"/>
          <w:rtl w:val="true"/>
        </w:rPr>
        <w:t>".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התקיים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מוטיב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התכנון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ואיתור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עישא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הגניבה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זיוף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ישראלית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 xml:space="preserve">               </w:t>
      </w:r>
      <w:r>
        <w:rPr>
          <w:rFonts w:cs="FrankRuehl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אלאטרש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5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</w:t>
      </w:r>
      <w:r>
        <w:rPr>
          <w:rFonts w:cs="FrankRuehl"/>
          <w:sz w:val="26"/>
          <w:sz w:val="26"/>
          <w:szCs w:val="26"/>
          <w:rtl w:val="true"/>
        </w:rPr>
        <w:t>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גנוב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מנגד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ששו</w:t>
      </w:r>
      <w:r>
        <w:rPr>
          <w:rFonts w:cs="FrankRuehl"/>
          <w:sz w:val="26"/>
          <w:sz w:val="26"/>
          <w:szCs w:val="26"/>
          <w:rtl w:val="true"/>
        </w:rPr>
        <w:t>וי</w:t>
      </w:r>
      <w:r>
        <w:rPr>
          <w:rFonts w:cs="FrankRuehl"/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שקלים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כחוליה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תפקידו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תדרים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תחכום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FrankRuehl"/>
          <w:sz w:val="26"/>
          <w:sz w:val="26"/>
          <w:szCs w:val="26"/>
          <w:rtl w:val="true"/>
        </w:rPr>
        <w:t>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החוק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5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במתקן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ימים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               </w:t>
      </w:r>
      <w:r>
        <w:rPr>
          <w:rFonts w:cs="FrankRuehl"/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ונסיבותיה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שהוצגה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24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המתחם</w:t>
      </w:r>
      <w:r>
        <w:rPr>
          <w:rFonts w:cs="FrankRueh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</w:t>
      </w:r>
      <w:r>
        <w:rPr>
          <w:rFonts w:cs="FrankRuehl"/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</w:t>
      </w:r>
      <w:r>
        <w:rPr>
          <w:rFonts w:cs="FrankRuehl"/>
          <w:sz w:val="26"/>
          <w:szCs w:val="26"/>
          <w:rtl w:val="true"/>
        </w:rPr>
        <w:t>),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והמשפחתיות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לחשיפה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שאיפה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התפקודי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תרומה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חיר</w:t>
      </w:r>
      <w:r>
        <w:rPr>
          <w:rFonts w:cs="FrankRuehl"/>
          <w:sz w:val="26"/>
          <w:sz w:val="26"/>
          <w:szCs w:val="26"/>
          <w:rtl w:val="true"/>
        </w:rPr>
        <w:t>ש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 </w:t>
      </w:r>
      <w:r>
        <w:rPr>
          <w:rFonts w:cs="FrankRuehl"/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בפר</w:t>
      </w:r>
      <w:r>
        <w:rPr>
          <w:rFonts w:cs="FrankRuehl"/>
          <w:sz w:val="26"/>
          <w:sz w:val="26"/>
          <w:szCs w:val="26"/>
          <w:rtl w:val="true"/>
        </w:rPr>
        <w:t>שה</w:t>
      </w:r>
      <w:r>
        <w:rPr>
          <w:rFonts w:cs="FrankRuehl"/>
          <w:sz w:val="26"/>
          <w:szCs w:val="26"/>
          <w:rtl w:val="true"/>
        </w:rPr>
        <w:t xml:space="preserve">; </w:t>
      </w:r>
      <w:r>
        <w:rPr>
          <w:rFonts w:cs="FrankRuehl"/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סובחי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להבדיל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סובחי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פחות</w:t>
      </w:r>
      <w:r>
        <w:rPr>
          <w:rFonts w:cs="FrankRuehl"/>
          <w:sz w:val="26"/>
          <w:szCs w:val="26"/>
          <w:rtl w:val="true"/>
        </w:rPr>
        <w:t xml:space="preserve">-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גנוב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והמלצותיו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בהרחבה</w:t>
      </w:r>
      <w:r>
        <w:rPr>
          <w:rFonts w:cs="FrankRuehl"/>
          <w:sz w:val="26"/>
          <w:szCs w:val="26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</w:rPr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start="850"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האמור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כדלק</w:t>
      </w:r>
      <w:r>
        <w:rPr>
          <w:rFonts w:cs="FrankRuehl"/>
          <w:sz w:val="26"/>
          <w:sz w:val="26"/>
          <w:szCs w:val="26"/>
          <w:rtl w:val="true"/>
        </w:rPr>
        <w:t>מן</w:t>
      </w:r>
      <w:r>
        <w:rPr>
          <w:rFonts w:cs="FrankRuehl"/>
          <w:sz w:val="26"/>
          <w:szCs w:val="26"/>
          <w:rtl w:val="true"/>
        </w:rPr>
        <w:t>: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</w:rPr>
        <w:t>4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FrankRuehl"/>
          <w:sz w:val="26"/>
          <w:sz w:val="26"/>
          <w:szCs w:val="26"/>
          <w:rtl w:val="true"/>
        </w:rPr>
        <w:t>רו</w:t>
      </w:r>
      <w:r>
        <w:rPr>
          <w:rFonts w:cs="FrankRuehl"/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כתובת</w:t>
      </w:r>
      <w:r>
        <w:rPr>
          <w:rFonts w:cs="FrankRuehl"/>
          <w:sz w:val="26"/>
          <w:szCs w:val="26"/>
          <w:rtl w:val="true"/>
        </w:rPr>
        <w:t xml:space="preserve">: </w:t>
      </w:r>
      <w:r>
        <w:rPr>
          <w:rFonts w:cs="FrankRuehl"/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ירושלים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בשבוע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</w:rPr>
        <w:t>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יומיות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במקום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מפקד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אחראי</w:t>
      </w:r>
      <w:r>
        <w:rPr>
          <w:rFonts w:cs="FrankRuehl"/>
          <w:sz w:val="26"/>
          <w:szCs w:val="26"/>
          <w:rtl w:val="true"/>
        </w:rPr>
        <w:t xml:space="preserve">: </w:t>
      </w:r>
      <w:r>
        <w:rPr>
          <w:rFonts w:cs="FrankRuehl"/>
          <w:sz w:val="26"/>
          <w:sz w:val="26"/>
          <w:szCs w:val="26"/>
          <w:rtl w:val="true"/>
        </w:rPr>
        <w:t>רס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פינטו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מפקח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השירות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31.10.2018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רכו</w:t>
      </w:r>
      <w:r>
        <w:rPr>
          <w:rFonts w:cs="FrankRuehl"/>
          <w:sz w:val="26"/>
          <w:sz w:val="26"/>
          <w:szCs w:val="26"/>
          <w:rtl w:val="true"/>
        </w:rPr>
        <w:t>ש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קנס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>(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8"/>
          <w:szCs w:val="8"/>
        </w:rPr>
      </w:pPr>
      <w:r>
        <w:rPr>
          <w:rFonts w:cs="FrankRuehl"/>
          <w:sz w:val="8"/>
          <w:szCs w:val="8"/>
          <w:rtl w:val="true"/>
        </w:rPr>
      </w:r>
    </w:p>
    <w:p>
      <w:pPr>
        <w:pStyle w:val="Normal"/>
        <w:spacing w:lineRule="auto" w:line="360"/>
        <w:ind w:hanging="850" w:start="850" w:end="0"/>
        <w:jc w:val="both"/>
        <w:rPr/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Cs/>
          <w:sz w:val="26"/>
          <w:szCs w:val="26"/>
          <w:u w:val="single"/>
        </w:rPr>
        <w:t>45</w:t>
      </w:r>
      <w:r>
        <w:rPr>
          <w:rFonts w:cs="FrankRueh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יו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ם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850" w:start="850" w:end="0"/>
        <w:jc w:val="both"/>
        <w:rPr>
          <w:rFonts w:cs="FrankRuehl"/>
          <w:b/>
          <w:bCs/>
          <w:sz w:val="26"/>
          <w:szCs w:val="26"/>
          <w:u w:val="single"/>
        </w:rPr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תשלח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העתק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 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לנוער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ולממונה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השירות</w:t>
      </w:r>
      <w:r>
        <w:rPr>
          <w:rFonts w:cs="FrankRuehl"/>
          <w:b/>
          <w:bCs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850" w:end="0"/>
        <w:jc w:val="both"/>
        <w:rPr>
          <w:rFonts w:cs="FrankRuehl"/>
          <w:b/>
          <w:bCs/>
          <w:color w:val="FFFFFF"/>
          <w:sz w:val="2"/>
          <w:szCs w:val="2"/>
          <w:u w:val="single"/>
        </w:rPr>
      </w:pPr>
      <w:r>
        <w:rPr>
          <w:rFonts w:cs="FrankRuehl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b/>
          <w:bCs/>
          <w:color w:val="FFFFFF"/>
          <w:sz w:val="2"/>
          <w:szCs w:val="2"/>
        </w:rPr>
        <w:t>54678313</w:t>
      </w:r>
      <w:r>
        <w:rPr>
          <w:rFonts w:cs="FrankRuehl"/>
          <w:b/>
          <w:bCs/>
          <w:sz w:val="26"/>
          <w:szCs w:val="26"/>
          <w:rtl w:val="true"/>
        </w:rPr>
        <w:t xml:space="preserve">           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FrankRuehl"/>
          <w:b/>
          <w:bCs/>
          <w:sz w:val="26"/>
          <w:szCs w:val="26"/>
          <w:rtl w:val="true"/>
        </w:rPr>
        <w:t xml:space="preserve">, 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כד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תשרי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תשע</w:t>
      </w:r>
      <w:r>
        <w:rPr>
          <w:rFonts w:cs="FrankRuehl"/>
          <w:b/>
          <w:bCs/>
          <w:sz w:val="26"/>
          <w:szCs w:val="26"/>
          <w:rtl w:val="true"/>
        </w:rPr>
        <w:t>"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FrankRuehl"/>
          <w:b/>
          <w:bCs/>
          <w:sz w:val="26"/>
          <w:szCs w:val="26"/>
          <w:rtl w:val="true"/>
        </w:rPr>
        <w:t xml:space="preserve">,  </w:t>
      </w:r>
      <w:r>
        <w:rPr>
          <w:rFonts w:cs="FrankRuehl"/>
          <w:b/>
          <w:bCs/>
          <w:sz w:val="26"/>
          <w:szCs w:val="26"/>
        </w:rPr>
        <w:t>3</w:t>
      </w:r>
      <w:r>
        <w:rPr>
          <w:rFonts w:cs="FrankRuehl"/>
          <w:b/>
          <w:bCs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באוקטובר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Cs/>
          <w:sz w:val="26"/>
          <w:szCs w:val="26"/>
        </w:rPr>
        <w:t>2018</w:t>
      </w:r>
      <w:r>
        <w:rPr>
          <w:rFonts w:cs="FrankRuehl"/>
          <w:b/>
          <w:bCs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הצדדים</w:t>
      </w:r>
      <w:r>
        <w:rPr>
          <w:rFonts w:cs="FrankRueh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sz w:val="26"/>
          <w:szCs w:val="26"/>
          <w:rtl w:val="true"/>
        </w:rPr>
        <w:t xml:space="preserve">   </w:t>
      </w:r>
      <w:r>
        <w:rPr>
          <w:rFonts w:cs="FrankRuehl"/>
          <w:sz w:val="26"/>
          <w:szCs w:val="26"/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Header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30972-09-17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רגבי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13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c" TargetMode="External"/><Relationship Id="rId10" Type="http://schemas.openxmlformats.org/officeDocument/2006/relationships/hyperlink" Target="http://www.nevo.co.il/law/70301/40c.b" TargetMode="External"/><Relationship Id="rId11" Type="http://schemas.openxmlformats.org/officeDocument/2006/relationships/hyperlink" Target="http://www.nevo.co.il/law/70301/413b" TargetMode="External"/><Relationship Id="rId12" Type="http://schemas.openxmlformats.org/officeDocument/2006/relationships/hyperlink" Target="http://www.nevo.co.il/law/70301/413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2997467" TargetMode="External"/><Relationship Id="rId15" Type="http://schemas.openxmlformats.org/officeDocument/2006/relationships/hyperlink" Target="http://www.nevo.co.il/case/6176143" TargetMode="External"/><Relationship Id="rId16" Type="http://schemas.openxmlformats.org/officeDocument/2006/relationships/hyperlink" Target="http://www.nevo.co.il/case/12354391" TargetMode="External"/><Relationship Id="rId17" Type="http://schemas.openxmlformats.org/officeDocument/2006/relationships/hyperlink" Target="http://www.nevo.co.il/case/21731817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law/70301/40c" TargetMode="External"/><Relationship Id="rId21" Type="http://schemas.openxmlformats.org/officeDocument/2006/relationships/hyperlink" Target="http://www.nevo.co.il/law/70301/40c.b" TargetMode="External"/><Relationship Id="rId22" Type="http://schemas.openxmlformats.org/officeDocument/2006/relationships/hyperlink" Target="http://www.nevo.co.il/case/8457253" TargetMode="External"/><Relationship Id="rId23" Type="http://schemas.openxmlformats.org/officeDocument/2006/relationships/hyperlink" Target="http://www.nevo.co.il/case/618235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2019-03-24T14:27:00Z</dcterms:created>
  <dc:creator> </dc:creator>
  <dc:description/>
  <cp:keywords/>
  <dc:language>en-IL</dc:language>
  <cp:lastModifiedBy>run</cp:lastModifiedBy>
  <dcterms:modified xsi:type="dcterms:W3CDTF">2019-03-24T14:27:00Z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רגבי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22997467;6176143;12354391;21731817;8457253;6182351</vt:lpwstr>
  </property>
  <property fmtid="{D5CDD505-2E9C-101B-9397-08002B2CF9AE}" pid="9" name="CITY">
    <vt:lpwstr>י-ם</vt:lpwstr>
  </property>
  <property fmtid="{D5CDD505-2E9C-101B-9397-08002B2CF9AE}" pid="10" name="DATE">
    <vt:lpwstr>20181003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טפרברג</vt:lpwstr>
  </property>
  <property fmtid="{D5CDD505-2E9C-101B-9397-08002B2CF9AE}" pid="14" name="LAWLISTTMP1">
    <vt:lpwstr>70301/040b;040c;040c.b;413b</vt:lpwstr>
  </property>
  <property fmtid="{D5CDD505-2E9C-101B-9397-08002B2CF9AE}" pid="15" name="LAWYER">
    <vt:lpwstr>אסף גרינבאום;חנא מאהר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30972</vt:lpwstr>
  </property>
  <property fmtid="{D5CDD505-2E9C-101B-9397-08002B2CF9AE}" pid="22" name="NEWPARTB">
    <vt:lpwstr>09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390020181003</vt:lpwstr>
  </property>
  <property fmtid="{D5CDD505-2E9C-101B-9397-08002B2CF9AE}" pid="34" name="TYPE_N_DATE">
    <vt:lpwstr>39020181003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