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30972-10-18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הינדי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3614"/>
        <w:gridCol w:w="5105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Times New 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both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cs="Times New Roman" w:ascii="Arial" w:hAnsi="Arial"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36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105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הינדי</w:t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פרקליטות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מחוז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ירושלים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רמי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עותמאן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499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14.3.2019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30.4.2019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26.12.2018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7.10.2018</w:t>
      </w:r>
      <w:r>
        <w:rPr>
          <w:rtl w:val="true"/>
        </w:rPr>
        <w:t xml:space="preserve">;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אימן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27.9.2018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14.3.2019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8.9.2018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8,000-7,000</w:t>
      </w:r>
      <w:r>
        <w:rPr>
          <w:rtl w:val="true"/>
        </w:rPr>
        <w:t xml:space="preserve"> ₪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העסקה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8.9.2018</w:t>
      </w:r>
      <w:r>
        <w:rPr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וסאמי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כשאן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וסאמי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קודמות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ואידיאולוגית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נפאע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13223/13</w:t>
      </w:r>
      <w:r>
        <w:rPr>
          <w:rtl w:val="true"/>
        </w:rPr>
        <w:t xml:space="preserve"> </w:t>
      </w:r>
      <w:r>
        <w:rPr>
          <w:u w:val="single"/>
          <w:rtl w:val="true"/>
        </w:rPr>
        <w:t>חסן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מאוגוסט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),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;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המשא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39998-08-15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קישק</w:t>
      </w:r>
      <w:r>
        <w:rPr>
          <w:rtl w:val="true"/>
        </w:rPr>
        <w:t xml:space="preserve">),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הודאותיהם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20778-11-12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5.5.2013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סלפיתי</w:t>
      </w:r>
      <w:r>
        <w:rPr>
          <w:rtl w:val="true"/>
        </w:rPr>
        <w:t xml:space="preserve">),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24215-06-13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דוידאר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דוידאר</w:t>
      </w:r>
      <w:r>
        <w:rPr>
          <w:rtl w:val="true"/>
        </w:rPr>
        <w:t xml:space="preserve">),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ברון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</w:t>
      </w:r>
      <w:r>
        <w:rPr>
          <w:b/>
          <w:b/>
          <w:bCs/>
          <w:u w:val="single"/>
          <w:rtl w:val="true"/>
        </w:rPr>
        <w:t>ואקה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 xml:space="preserve">: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קישק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דוידאר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פואקה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בראנסי</w:t>
      </w:r>
      <w:r>
        <w:rPr>
          <w:rtl w:val="true"/>
        </w:rPr>
        <w:t xml:space="preserve">),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וכמחציתם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tl w:val="true"/>
        </w:rPr>
        <w:t xml:space="preserve">), </w:t>
      </w:r>
      <w:r>
        <w:rPr>
          <w:rtl w:val="true"/>
        </w:rPr>
        <w:t>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קלשניקוב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דהוד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)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,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,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7</w:t>
      </w:r>
      <w:r>
        <w:rPr>
          <w:rtl w:val="true"/>
        </w:rPr>
        <w:t>)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34003-04-18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אג</w:t>
      </w:r>
      <w:r>
        <w:rPr>
          <w:u w:val="single"/>
          <w:rtl w:val="true"/>
        </w:rPr>
        <w:t>'</w:t>
      </w:r>
      <w:r>
        <w:rPr>
          <w:rtl w:val="true"/>
        </w:rPr>
        <w:t xml:space="preserve"> (</w:t>
      </w:r>
      <w:r>
        <w:rPr/>
        <w:t>8.10.2018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כהן</w:t>
      </w:r>
      <w:r>
        <w:rPr>
          <w:rtl w:val="true"/>
        </w:rPr>
        <w:t>-</w:t>
      </w:r>
      <w:r>
        <w:rPr>
          <w:rtl w:val="true"/>
        </w:rPr>
        <w:t>לקח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אג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>) (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bookmarkStart w:id="12" w:name="casename_body"/>
      <w:r>
        <w:rPr>
          <w:rtl w:val="true"/>
        </w:rPr>
        <w:t>(</w:t>
      </w:r>
      <w:hyperlink r:id="rId27">
        <w:bookmarkEnd w:id="12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8284/18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16.1.2019</w:t>
      </w:r>
      <w:r>
        <w:rPr>
          <w:rtl w:val="true"/>
        </w:rPr>
        <w:t xml:space="preserve">))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tl w:val="true"/>
        </w:rPr>
        <w:t>נ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8</w:t>
      </w:r>
      <w:r>
        <w:rPr>
          <w:rtl w:val="true"/>
        </w:rPr>
        <w:t>)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35186-03-18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פרידמן</w:t>
      </w:r>
      <w:r>
        <w:rPr>
          <w:rtl w:val="true"/>
        </w:rPr>
        <w:t>-</w:t>
      </w:r>
      <w:r>
        <w:rPr>
          <w:rtl w:val="true"/>
        </w:rPr>
        <w:t>פלדמן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קאסם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שועפאט</w:t>
      </w:r>
      <w:r>
        <w:rPr>
          <w:rtl w:val="true"/>
        </w:rPr>
        <w:t xml:space="preserve">, </w:t>
      </w:r>
      <w:r>
        <w:rPr>
          <w:rtl w:val="true"/>
        </w:rPr>
        <w:t>הנתקל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קישק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סלפיתי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קישק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והערותיהם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6985/12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17.3.2013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8866/11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חאג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22.3.2012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סולברג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3317/09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24.11.2009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7498-11-14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אלצראיעה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30.3.2017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tl w:val="true"/>
        </w:rPr>
        <w:t xml:space="preserve">) –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11-9</w:t>
      </w:r>
      <w:r>
        <w:rPr>
          <w:rtl w:val="true"/>
        </w:rPr>
        <w:t xml:space="preserve">),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mo;Times New Roman" w:ascii="Arimo;Times New Roman" w:hAnsi="Arimo;Times New Roman"/>
          <w:rtl w:val="true"/>
        </w:rPr>
        <w:t>"</w:t>
      </w:r>
      <w:r>
        <w:rPr>
          <w:rFonts w:ascii="Arimo;Times New Roman" w:hAnsi="Arimo;Times New Roman" w:cs="Arimo;Times New Roman"/>
          <w:rtl w:val="true"/>
        </w:rPr>
        <w:t>פעילות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חוקי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אוצרת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בחובה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בערכים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חברתיים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חשיבות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רבה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הגוף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חיי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ושלום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הציבור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וביטחונו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שנמכרו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במסגרת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האישומים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טיבם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כאלה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שבאמצעותם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לפגוע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בשלמות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הגוף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ולגדוע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חיי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אדם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חומרת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הנזק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הנגרם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בעקבות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ביצוע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כגון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מתעצמת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במקרים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כבענייננו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שבהם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נמכרים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פוטנציאל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ממשי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שהרי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ברובה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סער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בתת</w:t>
      </w:r>
      <w:r>
        <w:rPr>
          <w:rFonts w:cs="Arimo;Times New Roman" w:ascii="Arimo;Times New Roman" w:hAnsi="Arimo;Times New Roman"/>
          <w:rtl w:val="true"/>
        </w:rPr>
        <w:t>-</w:t>
      </w:r>
      <w:r>
        <w:rPr>
          <w:rFonts w:ascii="Arimo;Times New Roman" w:hAnsi="Arimo;Times New Roman" w:cs="Arimo;Times New Roman"/>
          <w:rtl w:val="true"/>
        </w:rPr>
        <w:t>מקלע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באקדח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אמין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ואיכותי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באקדח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מאולתר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... </w:t>
      </w:r>
    </w:p>
    <w:p>
      <w:pPr>
        <w:pStyle w:val="Normal"/>
        <w:spacing w:lineRule="auto" w:line="360"/>
        <w:ind w:start="1440" w:end="0"/>
        <w:jc w:val="both"/>
        <w:rPr>
          <w:rFonts w:ascii="Arimo;Times New Roman" w:hAnsi="Arimo;Times New Roman" w:cs="Arimo;Times New Roman"/>
          <w:sz w:val="20"/>
          <w:szCs w:val="20"/>
        </w:rPr>
      </w:pPr>
      <w:r>
        <w:rPr>
          <w:rFonts w:cs="Arimo;Times New Roman" w:ascii="Arimo;Times New Roman" w:hAnsi="Arimo;Times New Roman"/>
          <w:sz w:val="20"/>
          <w:szCs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Arimo;Times New Roman" w:hAnsi="Arimo;Times New Roman" w:cs="Arimo;Times New Roman"/>
          <w:rtl w:val="true"/>
        </w:rPr>
        <w:t>החומרה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היתרה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הכרוכה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והסיכון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מביצוען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לציבור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מקבלים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תוקף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להיקפיה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התפשטותה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כמענה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מסתמנת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בפסיקה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מגמה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עקבית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להחמיר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בגין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באופן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שיהלום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מידת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פגיעתן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בערכים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המוגנים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ויקדם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מיגור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התופעה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משכך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חרף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עיקרון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האינדיבידואלית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והמשקל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לנסיבותיו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האישיות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לגופו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בבואו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לגזור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דינו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שהורשע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בביצוע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חמורות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המשפט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בכורה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לשיקולי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ההרתעה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והאינטרס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הציבורי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 xml:space="preserve">(...). </w:t>
      </w:r>
      <w:r>
        <w:rPr>
          <w:rFonts w:ascii="Arimo;Times New Roman" w:hAnsi="Arimo;Times New Roman" w:cs="Arimo;Times New Roman"/>
          <w:rtl w:val="true"/>
        </w:rPr>
        <w:t>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יודגש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הגם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שעסקאות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מערבות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מטבע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הדברים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גורמים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שונים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שחלקו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אחד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הוא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משתנה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יש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חשיבות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מוחשית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בשרשרת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הסחר</w:t>
      </w:r>
      <w:r>
        <w:rPr>
          <w:rFonts w:cs="Arimo;Times New Roman" w:ascii="Arimo;Times New Roman" w:hAnsi="Arimo;Times New Roman"/>
          <w:rtl w:val="true"/>
        </w:rPr>
        <w:t xml:space="preserve">.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אחת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מאותן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חוליות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מוחזקת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כמי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שמודעת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לתוצאות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האפשריות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הקשות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העלולות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לנבוע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מהשימוש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שייעשה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לאחר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שיגיע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הצרכן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הסופי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בקצה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השרשרת</w:t>
      </w:r>
      <w:r>
        <w:rPr>
          <w:rFonts w:cs="Arimo;Times New Roman" w:ascii="Arimo;Times New Roman" w:hAnsi="Arimo;Times New Roman"/>
          <w:rtl w:val="true"/>
        </w:rPr>
        <w:t>' (</w:t>
      </w:r>
      <w:hyperlink r:id="rId39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7268/11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גרבאן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</w:t>
      </w:r>
      <w:r>
        <w:rPr>
          <w:rFonts w:cs="Arimo;Times New Roman" w:ascii="Arimo;Times New Roman" w:hAnsi="Arimo;Times New Roman"/>
          <w:u w:val="single"/>
          <w:rtl w:val="true"/>
        </w:rPr>
        <w:t xml:space="preserve">' </w:t>
      </w:r>
      <w:r>
        <w:rPr>
          <w:rFonts w:ascii="Arimo;Times New Roman" w:hAnsi="Arimo;Times New Roman" w:cs="Arimo;Times New Roman"/>
          <w:u w:val="single"/>
          <w:rtl w:val="true"/>
        </w:rPr>
        <w:t>מדינת</w:t>
      </w:r>
      <w:r>
        <w:rPr>
          <w:rFonts w:ascii="Arimo;Times New Roman" w:hAnsi="Arimo;Times New Roman" w:cs="Arimo;Times New Roman"/>
          <w:u w:val="single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ישראל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7</w:t>
      </w:r>
      <w:r>
        <w:rPr>
          <w:rFonts w:cs="Arimo;Times New Roman" w:ascii="Arimo;Times New Roman" w:hAnsi="Arimo;Times New Roman"/>
          <w:rtl w:val="true"/>
        </w:rPr>
        <w:t xml:space="preserve"> (</w:t>
      </w:r>
      <w:r>
        <w:rPr>
          <w:rFonts w:cs="Arimo;Times New Roman" w:ascii="Arimo;Times New Roman" w:hAnsi="Arimo;Times New Roman"/>
        </w:rPr>
        <w:t>8.8.2012</w:t>
      </w:r>
      <w:r>
        <w:rPr>
          <w:rFonts w:cs="Arimo;Times New Roman" w:ascii="Arimo;Times New Roman" w:hAnsi="Arimo;Times New Roman"/>
          <w:rtl w:val="true"/>
        </w:rPr>
        <w:t xml:space="preserve">)). </w:t>
      </w:r>
      <w:r>
        <w:rPr>
          <w:rFonts w:ascii="Arimo;Times New Roman" w:hAnsi="Arimo;Times New Roman" w:cs="Arimo;Times New Roman"/>
          <w:rtl w:val="true"/>
        </w:rPr>
        <w:t>לעניין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הצורך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בהחמרה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בענישה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ציינה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השופטת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כתוארה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אז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Fonts w:ascii="Arimo;Times New Roman" w:hAnsi="Arimo;Times New Roman" w:cs="Arimo;Times New Roman"/>
          <w:rtl w:val="true"/>
        </w:rPr>
        <w:t>א</w:t>
      </w:r>
      <w:r>
        <w:rPr>
          <w:rFonts w:cs="Arimo;Times New Roman" w:ascii="Arimo;Times New Roman" w:hAnsi="Arimo;Times New Roman"/>
          <w:rtl w:val="true"/>
        </w:rPr>
        <w:t xml:space="preserve">' </w:t>
      </w:r>
      <w:r>
        <w:rPr>
          <w:rFonts w:ascii="Arimo;Times New Roman" w:hAnsi="Arimo;Times New Roman" w:cs="Arimo;Times New Roman"/>
          <w:rtl w:val="true"/>
        </w:rPr>
        <w:t>חיות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בפסק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הדין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בעניין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u w:val="single"/>
          <w:rtl w:val="true"/>
        </w:rPr>
        <w:t>נפאע</w:t>
      </w:r>
      <w:r>
        <w:rPr>
          <w:rFonts w:cs="Arimo;Times New Roman" w:ascii="Arimo;Times New Roman" w:hAnsi="Arimo;Times New Roman"/>
          <w:rtl w:val="true"/>
        </w:rPr>
        <w:t xml:space="preserve">: </w:t>
      </w:r>
    </w:p>
    <w:p>
      <w:pPr>
        <w:pStyle w:val="Normal"/>
        <w:spacing w:lineRule="auto" w:line="360"/>
        <w:ind w:start="2160"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  <w:t>'</w:t>
      </w:r>
      <w:r>
        <w:rPr>
          <w:rFonts w:ascii="Arimo;Times New Roman" w:hAnsi="Arimo;Times New Roman" w:cs="Arimo;Times New Roman"/>
          <w:rtl w:val="true"/>
        </w:rPr>
        <w:t>נוכח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מימדיה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המדאיגים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תופעת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הסחר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הבלתי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חוקי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בנשק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הסכנות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הנשקפות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ממנה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והקלות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היחסית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שבה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לבצען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אכן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הגיעה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השעה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rtl w:val="true"/>
        </w:rPr>
        <w:t>בכפוף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לנסיבותיו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הקונקרטיות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של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מקרה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ומקרה</w:t>
      </w:r>
      <w:r>
        <w:rPr>
          <w:rFonts w:ascii="Arimo;Times New Roman" w:hAnsi="Arimo;Times New Roman" w:cs="Arimo;Times New Roman"/>
          <w:rtl w:val="true"/>
        </w:rPr>
        <w:t xml:space="preserve"> – </w:t>
      </w:r>
      <w:r>
        <w:rPr>
          <w:rFonts w:ascii="Arimo;Times New Roman" w:hAnsi="Arimo;Times New Roman" w:cs="Arimo;Times New Roman"/>
          <w:rtl w:val="true"/>
        </w:rPr>
        <w:t>להחמיר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בעונשי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המאסר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הנגזרים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על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נאשמים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בעבירות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אלו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לעומת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העונשים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הנגזרים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כיום</w:t>
      </w:r>
      <w:r>
        <w:rPr>
          <w:rFonts w:cs="Arimo;Times New Roman" w:ascii="Arimo;Times New Roman" w:hAnsi="Arimo;Times New Roman"/>
          <w:rtl w:val="true"/>
        </w:rPr>
        <w:t>" (</w:t>
      </w:r>
      <w:r>
        <w:rPr>
          <w:rFonts w:ascii="Arimo;Times New Roman" w:hAnsi="Arimo;Times New Roman" w:cs="Arimo;Times New Roman"/>
          <w:rtl w:val="true"/>
        </w:rPr>
        <w:t>שם</w:t>
      </w:r>
      <w:r>
        <w:rPr>
          <w:rFonts w:cs="Arimo;Times New Roman" w:ascii="Arimo;Times New Roman" w:hAnsi="Arimo;Times New Roman"/>
          <w:rtl w:val="true"/>
        </w:rPr>
        <w:t xml:space="preserve">, </w:t>
      </w:r>
      <w:r>
        <w:rPr>
          <w:rFonts w:ascii="Arimo;Times New Roman" w:hAnsi="Arimo;Times New Roman" w:cs="Arimo;Times New Roman"/>
          <w:rtl w:val="true"/>
        </w:rPr>
        <w:t>פסקה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7</w:t>
      </w:r>
      <w:r>
        <w:rPr>
          <w:rFonts w:cs="Arimo;Times New Roman" w:ascii="Arimo;Times New Roman" w:hAnsi="Arimo;Times New Roman"/>
          <w:rtl w:val="true"/>
        </w:rPr>
        <w:t>)'."</w:t>
      </w:r>
    </w:p>
    <w:p>
      <w:pPr>
        <w:pStyle w:val="Normal"/>
        <w:spacing w:lineRule="auto" w:line="360"/>
        <w:ind w:end="0"/>
        <w:jc w:val="both"/>
        <w:rPr>
          <w:rFonts w:ascii="Arimo;Times New Roman" w:hAnsi="Arimo;Times New Roman" w:cs="Arimo;Times New Roman"/>
        </w:rPr>
      </w:pPr>
      <w:r>
        <w:rPr>
          <w:rFonts w:cs="Arimo;Times New Roman" w:ascii="Arimo;Times New Roman" w:hAnsi="Arimo;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בחינת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שנסחר</w:t>
      </w:r>
      <w:r>
        <w:rPr>
          <w:rtl w:val="true"/>
        </w:rPr>
        <w:t xml:space="preserve">,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62-55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45-37</w:t>
      </w:r>
      <w:r>
        <w:rPr>
          <w:rtl w:val="true"/>
        </w:rPr>
        <w:t xml:space="preserve">).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אג</w:t>
      </w:r>
      <w:r>
        <w:rPr>
          <w:u w:val="single"/>
          <w:rtl w:val="true"/>
        </w:rPr>
        <w:t>'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50551-03-18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13.12.2018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36-30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54-46</w:t>
      </w:r>
      <w:r>
        <w:rPr>
          <w:rtl w:val="true"/>
        </w:rPr>
        <w:t xml:space="preserve">;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69-63</w:t>
      </w:r>
      <w:r>
        <w:rPr>
          <w:rtl w:val="true"/>
        </w:rPr>
        <w:t xml:space="preserve">).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35608-04-18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28.2.2019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דוידאר</w:t>
      </w:r>
      <w:r>
        <w:rPr>
          <w:rFonts w:cs="Calibri" w:ascii="Calibri" w:hAnsi="Calibri"/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2422/14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11789-12-16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מדינת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ישראל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</w:t>
      </w:r>
      <w:r>
        <w:rPr>
          <w:rFonts w:cs="Calibri" w:ascii="Calibri" w:hAnsi="Calibri"/>
          <w:u w:val="single"/>
          <w:rtl w:val="true"/>
        </w:rPr>
        <w:t xml:space="preserve">' </w:t>
      </w:r>
      <w:r>
        <w:rPr>
          <w:rFonts w:ascii="Calibri" w:hAnsi="Calibri" w:cs="Calibri"/>
          <w:u w:val="single"/>
          <w:rtl w:val="true"/>
        </w:rPr>
        <w:t>מאזן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ascii="Calibri" w:hAnsi="Calibri" w:cs="Calibri"/>
          <w:u w:val="single"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31.12.2017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מאק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קלמנוביץ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קישק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סלפית</w:t>
      </w:r>
      <w:r>
        <w:rPr>
          <w:rtl w:val="true"/>
        </w:rPr>
        <w:t>י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67703-11-16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מוגרבי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22.11.2017</w:t>
      </w:r>
      <w:r>
        <w:rPr>
          <w:rtl w:val="true"/>
        </w:rPr>
        <w:t>)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מאק</w:t>
      </w:r>
      <w:r>
        <w:rPr>
          <w:rtl w:val="true"/>
        </w:rPr>
        <w:t>-</w:t>
      </w:r>
      <w:r>
        <w:rPr>
          <w:rtl w:val="true"/>
        </w:rPr>
        <w:t>קלמנוביץ</w:t>
      </w:r>
      <w:r>
        <w:rPr>
          <w:rtl w:val="true"/>
        </w:rPr>
        <w:t xml:space="preserve">) 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תושלם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Fonts w:eastAsia="Wingdings" w:cs="Wingdings" w:ascii="Wingdings" w:hAnsi="Wingdings"/>
          <w:b/>
          <w:bCs/>
        </w:rPr>
        <w:sym w:font="Wingdings" w:char="f077"/>
      </w:r>
      <w:r>
        <w:rPr>
          <w:b/>
          <w:bCs/>
          <w:rtl w:val="true"/>
        </w:rPr>
        <w:t xml:space="preserve">  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ושקילת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tl w:val="true"/>
        </w:rPr>
        <w:t xml:space="preserve">; </w:t>
      </w:r>
      <w:r>
        <w:rPr>
          <w:u w:val="single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u w:val="single"/>
          <w:rtl w:val="true"/>
        </w:rPr>
        <w:t>רביעי</w:t>
      </w:r>
      <w:r>
        <w:rPr>
          <w:u w:val="single"/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14.9.2018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באייר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 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כאמור בפרוטוקול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Arimo">
    <w:altName w:val="arial"/>
    <w:charset w:val="00" w:characterSet="windows-1252"/>
    <w:family w:val="auto"/>
    <w:pitch w:val="default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30972-10-18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אדהם הינדי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8" TargetMode="External"/><Relationship Id="rId5" Type="http://schemas.openxmlformats.org/officeDocument/2006/relationships/hyperlink" Target="http://www.nevo.co.il/law/70301/34d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28" TargetMode="External"/><Relationship Id="rId11" Type="http://schemas.openxmlformats.org/officeDocument/2006/relationships/hyperlink" Target="http://www.nevo.co.il/law/70301/34d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9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821327" TargetMode="External"/><Relationship Id="rId20" Type="http://schemas.openxmlformats.org/officeDocument/2006/relationships/hyperlink" Target="http://www.nevo.co.il/case/20523508" TargetMode="External"/><Relationship Id="rId21" Type="http://schemas.openxmlformats.org/officeDocument/2006/relationships/hyperlink" Target="http://www.nevo.co.il/case/4036214" TargetMode="External"/><Relationship Id="rId22" Type="http://schemas.openxmlformats.org/officeDocument/2006/relationships/hyperlink" Target="http://www.nevo.co.il/case/7827259" TargetMode="External"/><Relationship Id="rId23" Type="http://schemas.openxmlformats.org/officeDocument/2006/relationships/hyperlink" Target="http://www.nevo.co.il/case/20007334" TargetMode="External"/><Relationship Id="rId24" Type="http://schemas.openxmlformats.org/officeDocument/2006/relationships/hyperlink" Target="http://www.nevo.co.il/case/23750625" TargetMode="External"/><Relationship Id="rId25" Type="http://schemas.openxmlformats.org/officeDocument/2006/relationships/hyperlink" Target="http://www.nevo.co.il/case/21474520" TargetMode="External"/><Relationship Id="rId26" Type="http://schemas.openxmlformats.org/officeDocument/2006/relationships/hyperlink" Target="http://www.nevo.co.il/case/23875433" TargetMode="External"/><Relationship Id="rId27" Type="http://schemas.openxmlformats.org/officeDocument/2006/relationships/hyperlink" Target="http://www.nevo.co.il/case/25167034" TargetMode="External"/><Relationship Id="rId28" Type="http://schemas.openxmlformats.org/officeDocument/2006/relationships/hyperlink" Target="http://www.nevo.co.il/case/23794887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5598555" TargetMode="External"/><Relationship Id="rId31" Type="http://schemas.openxmlformats.org/officeDocument/2006/relationships/hyperlink" Target="http://www.nevo.co.il/case/5610199" TargetMode="External"/><Relationship Id="rId32" Type="http://schemas.openxmlformats.org/officeDocument/2006/relationships/hyperlink" Target="http://www.nevo.co.il/case/6244854" TargetMode="External"/><Relationship Id="rId33" Type="http://schemas.openxmlformats.org/officeDocument/2006/relationships/hyperlink" Target="http://www.nevo.co.il/case/18128667" TargetMode="External"/><Relationship Id="rId34" Type="http://schemas.openxmlformats.org/officeDocument/2006/relationships/hyperlink" Target="http://www.nevo.co.il/law/70301/144.b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d" TargetMode="External"/><Relationship Id="rId37" Type="http://schemas.openxmlformats.org/officeDocument/2006/relationships/hyperlink" Target="http://www.nevo.co.il/law/70301/28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598421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3811621" TargetMode="External"/><Relationship Id="rId43" Type="http://schemas.openxmlformats.org/officeDocument/2006/relationships/hyperlink" Target="http://www.nevo.co.il/case/23877165" TargetMode="External"/><Relationship Id="rId44" Type="http://schemas.openxmlformats.org/officeDocument/2006/relationships/hyperlink" Target="http://www.nevo.co.il/case/13090914" TargetMode="External"/><Relationship Id="rId45" Type="http://schemas.openxmlformats.org/officeDocument/2006/relationships/hyperlink" Target="http://www.nevo.co.il/case/21725190" TargetMode="External"/><Relationship Id="rId46" Type="http://schemas.openxmlformats.org/officeDocument/2006/relationships/hyperlink" Target="http://www.nevo.co.il/case/21688764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2020-10-08T09:56:00Z</dcterms:created>
  <dc:creator> </dc:creator>
  <dc:description/>
  <cp:keywords/>
  <dc:language>en-IL</dc:language>
  <cp:lastModifiedBy>yafit</cp:lastModifiedBy>
  <dcterms:modified xsi:type="dcterms:W3CDTF">2020-10-08T09:56:00Z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אדהם הינדי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5821327;20523508;4036214;7827259;20007334;23750625;21474520;23875433;25167034;23794887;7791493;5598555;5610199;6244854;18128667;5598421;23811621;23877165;13090914;21725190;21688764</vt:lpwstr>
  </property>
  <property fmtid="{D5CDD505-2E9C-101B-9397-08002B2CF9AE}" pid="9" name="CITY">
    <vt:lpwstr>י-ם</vt:lpwstr>
  </property>
  <property fmtid="{D5CDD505-2E9C-101B-9397-08002B2CF9AE}" pid="10" name="DATE">
    <vt:lpwstr>20190513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70301/025;028;034d;144.b2:3;499</vt:lpwstr>
  </property>
  <property fmtid="{D5CDD505-2E9C-101B-9397-08002B2CF9AE}" pid="15" name="LAWYER">
    <vt:lpwstr>הדס עמיר;רמי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30972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390020190513</vt:lpwstr>
  </property>
  <property fmtid="{D5CDD505-2E9C-101B-9397-08002B2CF9AE}" pid="34" name="TYPE_N_DATE">
    <vt:lpwstr>39020190513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