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30974-03-14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אלנצאצרה</w:t>
            </w:r>
          </w:p>
          <w:p>
            <w:pPr>
              <w:pStyle w:val="Header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מיכל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מוחמד אלנצאצרה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 xml:space="preserve">: </w:t>
      </w:r>
      <w:bookmarkStart w:id="2" w:name="FirstLawyer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</w:t>
      </w:r>
      <w:bookmarkEnd w:id="2"/>
      <w:r>
        <w:rPr>
          <w:rFonts w:ascii="Arial" w:hAnsi="Arial" w:cs="Arial"/>
          <w:b/>
          <w:b/>
          <w:bCs/>
          <w:rtl w:val="true"/>
        </w:rPr>
        <w:t xml:space="preserve">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מיכל מזור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שרון נהרי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>הנאשם התייצ</w:t>
      </w:r>
      <w:bookmarkStart w:id="3" w:name="LawTable"/>
      <w:bookmarkEnd w:id="3"/>
      <w:r>
        <w:rPr>
          <w:rFonts w:ascii="Arial" w:hAnsi="Arial" w:cs="Arial"/>
          <w:b/>
          <w:b/>
          <w:bCs/>
          <w:rtl w:val="true"/>
        </w:rPr>
        <w:t xml:space="preserve"> ב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bookmarkStart w:id="7" w:name="ABSTRACT_START"/>
      <w:bookmarkEnd w:id="7"/>
      <w:r>
        <w:rPr>
          <w:rFonts w:ascii="Arial" w:hAnsi="Arial"/>
          <w:sz w:val="24"/>
          <w:sz w:val="24"/>
          <w:szCs w:val="24"/>
          <w:rtl w:val="true"/>
        </w:rPr>
        <w:t xml:space="preserve">כנגד הנאשם הוגש ביום </w:t>
      </w:r>
      <w:r>
        <w:rPr>
          <w:rFonts w:cs="Arial" w:ascii="Arial" w:hAnsi="Arial"/>
          <w:sz w:val="24"/>
          <w:szCs w:val="24"/>
        </w:rPr>
        <w:t>17.3.14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כתב אישום המייחס לו עבירות של קשירת קשר לביצוע פשע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עבירה</w:t>
      </w:r>
      <w:r>
        <w:rPr>
          <w:rFonts w:ascii="Arial" w:hAnsi="Arial"/>
          <w:sz w:val="24"/>
          <w:sz w:val="24"/>
          <w:szCs w:val="24"/>
          <w:rtl w:val="true"/>
        </w:rPr>
        <w:t xml:space="preserve"> לפי </w:t>
      </w:r>
      <w:hyperlink r:id="rId14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ז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1977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החוק</w:t>
      </w:r>
      <w:r>
        <w:rPr>
          <w:rFonts w:cs="Arial" w:ascii="Arial" w:hAnsi="Arial"/>
          <w:sz w:val="24"/>
          <w:szCs w:val="24"/>
          <w:rtl w:val="true"/>
        </w:rPr>
        <w:t xml:space="preserve">"), </w:t>
      </w:r>
      <w:r>
        <w:rPr>
          <w:rFonts w:ascii="Arial" w:hAnsi="Arial"/>
          <w:sz w:val="24"/>
          <w:sz w:val="24"/>
          <w:szCs w:val="24"/>
          <w:rtl w:val="true"/>
        </w:rPr>
        <w:t>תקיפה בנסיבות מחמירות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עבירה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1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380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+ </w:t>
      </w:r>
      <w:hyperlink r:id="rId17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נשיאת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עבירה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18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 וחבלה בכוונה מחמירה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עבירה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1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bookmarkStart w:id="8" w:name="ABSTRACT_END"/>
      <w:bookmarkEnd w:id="8"/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נעצר ביום </w:t>
      </w:r>
      <w:r>
        <w:rPr>
          <w:rFonts w:cs="Arial" w:ascii="Arial" w:hAnsi="Arial"/>
          <w:sz w:val="24"/>
          <w:szCs w:val="24"/>
        </w:rPr>
        <w:t>4.3.13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ושוחרר למעצר בית ביום </w:t>
      </w:r>
      <w:r>
        <w:rPr>
          <w:rFonts w:cs="Arial" w:ascii="Arial" w:hAnsi="Arial"/>
          <w:sz w:val="24"/>
          <w:szCs w:val="24"/>
        </w:rPr>
        <w:t>17.6.14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26.6.14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הוצג לבית המשפט הסדר טיעון ולפיו יודה הנאשם ויורשע ב</w:t>
      </w:r>
      <w:r>
        <w:rPr>
          <w:rFonts w:ascii="Arial" w:hAnsi="Arial"/>
          <w:sz w:val="24"/>
          <w:sz w:val="24"/>
          <w:szCs w:val="24"/>
          <w:rtl w:val="true"/>
        </w:rPr>
        <w:t xml:space="preserve">עובדות </w:t>
      </w:r>
      <w:r>
        <w:rPr>
          <w:rFonts w:ascii="Arial" w:hAnsi="Arial"/>
          <w:sz w:val="24"/>
          <w:sz w:val="24"/>
          <w:szCs w:val="24"/>
          <w:rtl w:val="true"/>
        </w:rPr>
        <w:t>כתב אישום מתוקן בו הומר סעיף האישום האחרון לעבירה של ניסיון לחבלה חמורה בנסיבות מחמירות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יחד עם </w:t>
      </w:r>
      <w:hyperlink r:id="rId21">
        <w:r>
          <w:rPr>
            <w:rStyle w:val="Hyperlink"/>
            <w:rFonts w:cs="Arial" w:ascii="Arial" w:hAnsi="Arial"/>
            <w:sz w:val="24"/>
            <w:szCs w:val="24"/>
          </w:rPr>
          <w:t>335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)(</w:t>
        </w:r>
        <w:r>
          <w:rPr>
            <w:rStyle w:val="Hyperlink"/>
            <w:rFonts w:cs="Arial" w:ascii="Arial" w:hAnsi="Arial"/>
            <w:sz w:val="24"/>
            <w:szCs w:val="24"/>
          </w:rPr>
          <w:t>1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sz w:val="24"/>
            <w:szCs w:val="24"/>
          </w:rPr>
          <w:t>25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הוסכם כי המאשימה תטען למתחם ענישה של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עד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מאסר בפועל ותעתור להשית על הנאשם את הרף הנמוך במתחם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וכי עובר לטיעונים לעונש יפקיד הנאשם סך של </w:t>
      </w:r>
      <w:r>
        <w:rPr>
          <w:rFonts w:cs="Arial" w:ascii="Arial" w:hAnsi="Arial"/>
          <w:sz w:val="24"/>
          <w:szCs w:val="24"/>
        </w:rPr>
        <w:t>50,000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בקופת בית המשפט לטובת פיצויים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ascii="Arial" w:hAnsi="Arial"/>
          <w:sz w:val="24"/>
          <w:sz w:val="24"/>
          <w:szCs w:val="24"/>
          <w:rtl w:val="true"/>
        </w:rPr>
        <w:t>משפחת המנוח וכן יוצג הסכם סולחה בין המשפחות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הודה והורשע במיוחס 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ולבקשת בא כוחו הוזמן תסקיר שירות מבחן בעניינו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מעובדות כתב האישום המתוקן עולה כי בעקבות סכסוך כספי בין איברהים אזברגה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המתלונן</w:t>
      </w:r>
      <w:r>
        <w:rPr>
          <w:rFonts w:cs="Arial" w:ascii="Arial" w:hAnsi="Arial"/>
          <w:sz w:val="24"/>
          <w:szCs w:val="24"/>
          <w:rtl w:val="true"/>
        </w:rPr>
        <w:t xml:space="preserve">") </w:t>
      </w:r>
      <w:r>
        <w:rPr>
          <w:rFonts w:ascii="Arial" w:hAnsi="Arial"/>
          <w:sz w:val="24"/>
          <w:sz w:val="24"/>
          <w:szCs w:val="24"/>
          <w:rtl w:val="true"/>
        </w:rPr>
        <w:t xml:space="preserve">לבין הנאשם על חוב בסך </w:t>
      </w:r>
      <w:r>
        <w:rPr>
          <w:rFonts w:cs="Arial" w:ascii="Arial" w:hAnsi="Arial"/>
          <w:sz w:val="24"/>
          <w:szCs w:val="24"/>
        </w:rPr>
        <w:t>250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קשר הנאשם קשר עם מספר בני משפחה ומקורבים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בני משפחת נסאסרה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לתקוף את המתלונן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וביום </w:t>
      </w:r>
      <w:r>
        <w:rPr>
          <w:rFonts w:cs="Arial" w:ascii="Arial" w:hAnsi="Arial"/>
          <w:sz w:val="24"/>
          <w:szCs w:val="24"/>
        </w:rPr>
        <w:t>18.5.13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הגיעו בני משפחת נסאסרה כשהם חמושים באלות לבית הקפה בכביש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בטייבה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בו ישבו באותה עת המתלונן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בני משפחתו ומקורביו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בני משפחת אזברגה</w:t>
      </w:r>
      <w:r>
        <w:rPr>
          <w:rFonts w:cs="Arial" w:ascii="Arial" w:hAnsi="Arial"/>
          <w:sz w:val="24"/>
          <w:szCs w:val="24"/>
          <w:rtl w:val="true"/>
        </w:rPr>
        <w:t xml:space="preserve">").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ניגש למתלונן וביקש ממנו לצאת עמו החוצה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המתלונן עשה 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השניים החליפו דין ודברים והנאשם ובני משפחתו תקפו את המתלונן באמצעות האלות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בעקבות זאת יצאו בני משפחת אזברגה מבית הקפה ובין הצדדים התפתחה קטטה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במהלכה נמלט המתלונן מהמקום ברכב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בני משפחת נסאסרה דלקו אחריו ובני משפחת אזברגה נסעו אחריהם לעבר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מתחם המשפחות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 xml:space="preserve">בטייבה בסמוך לכביש </w:t>
      </w:r>
      <w:r>
        <w:rPr>
          <w:rFonts w:cs="Arial" w:ascii="Arial" w:hAnsi="Arial"/>
          <w:sz w:val="24"/>
          <w:szCs w:val="24"/>
        </w:rPr>
        <w:t>444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זירת האירוע</w:t>
      </w:r>
      <w:r>
        <w:rPr>
          <w:rFonts w:cs="Arial" w:ascii="Arial" w:hAnsi="Arial"/>
          <w:sz w:val="24"/>
          <w:szCs w:val="24"/>
          <w:rtl w:val="true"/>
        </w:rPr>
        <w:t>").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במהלך הנסיעה ניסו בני משפחת אזברגה לפגוע במתלונן ואחד מהם אף השליך לעברו כלי עבודה ממתכת שפג</w:t>
      </w:r>
      <w:r>
        <w:rPr>
          <w:rFonts w:ascii="Arial" w:hAnsi="Arial"/>
          <w:sz w:val="24"/>
          <w:sz w:val="24"/>
          <w:szCs w:val="24"/>
          <w:rtl w:val="true"/>
        </w:rPr>
        <w:t>ע</w:t>
      </w:r>
      <w:r>
        <w:rPr>
          <w:rFonts w:ascii="Arial" w:hAnsi="Arial"/>
          <w:sz w:val="24"/>
          <w:sz w:val="24"/>
          <w:szCs w:val="24"/>
          <w:rtl w:val="true"/>
        </w:rPr>
        <w:t xml:space="preserve"> בזרועו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כשהגיעו לזירת האירוע ויצאו מכלי הרכב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התפתחה במקום קטטה רבת משתתפים בה הכו זה את זה במקלות ואבנים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וחלק מהמעורבים אף היו חמושים באקדחים וירו בהם לכל עבר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לזירת האירוע הוזעקו מנהיגי המשפחות ובהם השיח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איברהים אזברגה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וכוחות משטרה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חצצו בין הניצים במטרה להרגיע את הרוחות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אולם ללא הועיל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בהמשך לכך שלף הנאשם אקדח שנשא על גופו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וירה באמצעותו מספר פעמים לעבר חלק מבני משפחת אזברגה כשהוא מנסה לפגוע בהם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ולאחר מכן נמלט מזירת האירוע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כתוצאה מהמתואר לעיל נגרמה למתלונן חבלה של ממש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ומשתתפים רבים בקטטה נפצעו ופונו לקבלת טיפול רפואי ובהם עלי אזברגה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שנפצע מקליע שחדר לרגלו השמאלית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נותח ואושפז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רמדאן אזברגה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נפצע מקליע בחזה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נותח ואושפז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והשיח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איברהים אזברגה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נפצע קשה מקליע בצווארו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נותח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הורדם ומת מפצעיו ביום </w:t>
      </w:r>
      <w:r>
        <w:rPr>
          <w:rFonts w:cs="Arial" w:ascii="Arial" w:hAnsi="Arial"/>
          <w:sz w:val="24"/>
          <w:szCs w:val="24"/>
        </w:rPr>
        <w:t>24.5.13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בביה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ח בלינסון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מבחן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מתסקיר שירות המבחן עולה כי הנאשם הינו בן </w:t>
      </w:r>
      <w:r>
        <w:rPr>
          <w:rFonts w:cs="Arial" w:ascii="Arial" w:hAnsi="Arial"/>
          <w:sz w:val="24"/>
          <w:szCs w:val="24"/>
        </w:rPr>
        <w:t>35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לארבעה ילדים בגילאי שנתיים וחצי עד שש וחצי</w:t>
      </w:r>
      <w:r>
        <w:rPr>
          <w:rFonts w:ascii="Arial" w:hAnsi="Arial"/>
          <w:sz w:val="24"/>
          <w:sz w:val="24"/>
          <w:szCs w:val="24"/>
          <w:rtl w:val="true"/>
        </w:rPr>
        <w:t xml:space="preserve"> בהתאמה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עובר למעצרו עבד בחנות לחומרי בניין בטייבה ובעבודות עפר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לחובתו שתי הרשעות קודמות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האחת משנת </w:t>
      </w:r>
      <w:r>
        <w:rPr>
          <w:rFonts w:cs="Arial" w:ascii="Arial" w:hAnsi="Arial"/>
          <w:sz w:val="24"/>
          <w:szCs w:val="24"/>
        </w:rPr>
        <w:t>2009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בגין עבירת הפרעה לשוטר והשניה משנת </w:t>
      </w:r>
      <w:r>
        <w:rPr>
          <w:rFonts w:cs="Arial" w:ascii="Arial" w:hAnsi="Arial"/>
          <w:sz w:val="24"/>
          <w:szCs w:val="24"/>
        </w:rPr>
        <w:t>2006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בגין ניסיון הסעת תושב השוהה שלא כדין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בגינן נדון לעונשי מאסר מותנים ולקנסות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מתיאוריו של הנאשם את האירוע עלה כי הוא משליך את מרבית האחריות על התנהלותו של המתלונן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ולהתרשמות שירות המבחן הוא נוטה 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דחיסה רגשית</w:t>
      </w:r>
      <w:r>
        <w:rPr>
          <w:rFonts w:cs="Arial" w:ascii="Arial" w:hAnsi="Arial"/>
          <w:sz w:val="24"/>
          <w:szCs w:val="24"/>
          <w:rtl w:val="true"/>
        </w:rPr>
        <w:t xml:space="preserve">": </w:t>
      </w:r>
      <w:r>
        <w:rPr>
          <w:rFonts w:ascii="Arial" w:hAnsi="Arial"/>
          <w:sz w:val="24"/>
          <w:sz w:val="24"/>
          <w:szCs w:val="24"/>
          <w:rtl w:val="true"/>
        </w:rPr>
        <w:t>מחזיק בעמדות הנותנות לגיטימציה לאלימות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הרתעה באמצעים כוחניים ואפילו שימוש בנשק במצבים של פגיעה בכבוד המשפחה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הוא נוטה לצמצם מחלקו לאירוע ומרוכז במחירים שמשלם בגין התנהגותו ואינו מגלה אמפתיה לנפגעים באירוע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כן התקבל הרושם כי נכונותו להשתלב בטיפול נובעת </w:t>
      </w:r>
      <w:r>
        <w:rPr>
          <w:rFonts w:ascii="Arial" w:hAnsi="Arial"/>
          <w:sz w:val="24"/>
          <w:sz w:val="24"/>
          <w:szCs w:val="24"/>
          <w:rtl w:val="true"/>
        </w:rPr>
        <w:t>מה</w:t>
      </w:r>
      <w:r>
        <w:rPr>
          <w:rFonts w:ascii="Arial" w:hAnsi="Arial"/>
          <w:sz w:val="24"/>
          <w:sz w:val="24"/>
          <w:szCs w:val="24"/>
          <w:rtl w:val="true"/>
        </w:rPr>
        <w:t xml:space="preserve">צורך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ascii="Arial" w:hAnsi="Arial"/>
          <w:sz w:val="24"/>
          <w:sz w:val="24"/>
          <w:szCs w:val="24"/>
          <w:rtl w:val="true"/>
        </w:rPr>
        <w:t>קידום ההליך המשפטי ולנוכח קושי להצביע על כשלון בהתנהגותו באירוע הנדון ספק אם יכול להיתרם מהתערבות טיפולית בשלב הנוכחי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הציג בפני שירות המבחן הסכם סולחה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והמתלונן אישר את קיומה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ציין כי לא נפגע באירוע וכי אין לו טינה כלפי הנאשם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המלצות שירות המבחן הינן הטלת ענישה מוחשית שתהיה בעלת אלמנט הרתעתי אך תאפשר את שיקומו של הנאשם בעתיד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המאשימה הגישה </w:t>
      </w:r>
      <w:r>
        <w:rPr>
          <w:rFonts w:ascii="Arial" w:hAnsi="Arial"/>
          <w:sz w:val="24"/>
          <w:sz w:val="24"/>
          <w:szCs w:val="24"/>
          <w:rtl w:val="true"/>
        </w:rPr>
        <w:t xml:space="preserve">את </w:t>
      </w:r>
      <w:r>
        <w:rPr>
          <w:rFonts w:ascii="Arial" w:hAnsi="Arial"/>
          <w:sz w:val="24"/>
          <w:sz w:val="24"/>
          <w:szCs w:val="24"/>
          <w:rtl w:val="true"/>
        </w:rPr>
        <w:t xml:space="preserve">גיליון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רישום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פלילי </w:t>
      </w:r>
      <w:r>
        <w:rPr>
          <w:rFonts w:ascii="Arial" w:hAnsi="Arial"/>
          <w:sz w:val="24"/>
          <w:sz w:val="24"/>
          <w:szCs w:val="24"/>
          <w:rtl w:val="true"/>
        </w:rPr>
        <w:t>של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הנאשם ממנו עולה כי לנאשם שתי הרשעות קודמות כמפורט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כמו כן העיד מטעם המאשימה פקד שי בלנק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קצין בילוש בתחנת טירה אשר שימש כקצין תורן במועד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תאר את עצמת האלימות שננקטה באירוע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הסיכון שנגרם לחיי אדם ואת תחושת חוסר הביטחון שלו כשוטר באירוע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ציין כי להערכתו נכחו במקום מאות אנשים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הטיעונים לעונש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המאשימה הציגה את הסדר הטיעון ולפיו הפקיד הנאשם מבעוד מועד בקופת בית המשפט </w:t>
      </w:r>
      <w:r>
        <w:rPr>
          <w:rFonts w:cs="Arial" w:ascii="Arial" w:hAnsi="Arial"/>
          <w:sz w:val="24"/>
          <w:szCs w:val="24"/>
        </w:rPr>
        <w:t>50,000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כפיצוי למשפחת המנוח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עתרה</w:t>
      </w:r>
      <w:r>
        <w:rPr>
          <w:rFonts w:ascii="Arial" w:hAnsi="Arial"/>
          <w:sz w:val="24"/>
          <w:sz w:val="24"/>
          <w:szCs w:val="24"/>
          <w:rtl w:val="true"/>
        </w:rPr>
        <w:t xml:space="preserve"> להטיל על הנאשם עונש של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מאסר בפועל ועונש מאסר מותנה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הסדר הטיעון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לטענתה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נעוץ בקשיים ראייתיים משמעותיים הנוגעים לשאלת זיהוי הנאשם וחלקו במסכת העובדתית שפורטה לעיל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 עמדה על חומרתן של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כך שו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יכוח פעוט התפתח להתפרעות רבתי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והוביל לתוצאה טראגית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הסכנה שעמדו בה מעורבים רבים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בהם שוטרים ואזרחים תמימים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התעוזה שבאחיזת נשק ועשיית שימוש בו כפי שנעשה על ידי הנאשם ועל עמדותיו של הנאשם כפי שבאו לידי ביטוי אף אל מול שירות המבחן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לשיטתה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הסדר הטיעון מאזן בין חומרת המעשים מחד לבין נסיבות לקולא ובהן הודאת הנאשם על אף קשיים ראייתיים משמעותיים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לקיחת אחריות על ידו ופיצוי משפחת המנוח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העובדה שהנאשם הינו המעורב היחיד שהועמד לדין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נסיבותיו האישיות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העובדה שזהו מאסרו הראשון והחיסכון בזמן שיפוטי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כתימוכין לעתירתה הפנתה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 לפסיקה כדלקמן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  <w:sz w:val="24"/>
          <w:szCs w:val="24"/>
        </w:rPr>
      </w:pPr>
      <w:hyperlink r:id="rId2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5711-02-09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נגד שחיבר – נדון סכסוך בין שתי משפחות שהוביל לאירוע ירי רב משתתפים ממנו נפגעו המנוח ואדם נוסף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נורמטיביים ובעלי משפחות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הורשעו לאחר ניהול הוכחות בביצוע עבירות החזקת נשק ונשיאתו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וגרימת חבלה בכוונה מחמירה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בית המשפט שם עמד על הסכנה הטמונה בירי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התממשה בהריגתו של המנוח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וקבע כי בעבירות נשיאת נשק ללא רישיון וירי בשטח מגורים לעבר אחרים בכוונה לפגוע בהם טווח הענישה ההולם נע בין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-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במקרה 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מבלי שהושג הסכם סולחה בין הצדדים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וללא הודאה וחרטה מצד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הוטלו על כל אחד מהם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מאסר לריצוי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  <w:sz w:val="24"/>
          <w:szCs w:val="24"/>
        </w:rPr>
      </w:pPr>
      <w:hyperlink r:id="rId24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4689/10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מחאג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 xml:space="preserve">נה נגד מדינת ישראל – בעקבות סכסוך בין המערער לקרובי משפחתו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נשא המערער אקדח והלך לביתם של קרובי משפחתו והחל לירות לכל עבר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המערער הורשע בעבירות ניסיון לחבלה בכוונה מחמירה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עבירות החזקה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הובלה ונשיאה של נשק ועבירת יריות באזור מגורים</w:t>
      </w:r>
      <w:r>
        <w:rPr>
          <w:rFonts w:cs="Arial" w:ascii="Arial" w:hAnsi="Arial"/>
          <w:sz w:val="24"/>
          <w:szCs w:val="24"/>
          <w:rtl w:val="true"/>
        </w:rPr>
        <w:t xml:space="preserve">.  </w:t>
      </w:r>
      <w:r>
        <w:rPr>
          <w:rFonts w:ascii="Arial" w:hAnsi="Arial"/>
          <w:sz w:val="24"/>
          <w:sz w:val="24"/>
          <w:szCs w:val="24"/>
          <w:rtl w:val="true"/>
        </w:rPr>
        <w:t>מדובר בעבירה שנייה מסוגה שב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צע המערער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שעה שתלוי ועומד נגדו מאסר על תנאי בגין עבירות זהות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בנסיבות אלה הוטלו עליו </w:t>
      </w:r>
      <w:r>
        <w:rPr>
          <w:rFonts w:cs="Arial" w:ascii="Arial" w:hAnsi="Arial"/>
          <w:sz w:val="24"/>
          <w:szCs w:val="24"/>
        </w:rPr>
        <w:t>42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ועונש המאסר המותנה הופעל במצטבר כך ש</w:t>
      </w:r>
      <w:r>
        <w:rPr>
          <w:rFonts w:ascii="Arial" w:hAnsi="Arial"/>
          <w:sz w:val="24"/>
          <w:sz w:val="24"/>
          <w:szCs w:val="24"/>
          <w:rtl w:val="true"/>
        </w:rPr>
        <w:t>היה</w:t>
      </w:r>
      <w:r>
        <w:rPr>
          <w:rFonts w:ascii="Arial" w:hAnsi="Arial"/>
          <w:sz w:val="24"/>
          <w:sz w:val="24"/>
          <w:szCs w:val="24"/>
          <w:rtl w:val="true"/>
        </w:rPr>
        <w:t xml:space="preserve"> עליו לרצות בס</w:t>
      </w:r>
      <w:r>
        <w:rPr>
          <w:rFonts w:ascii="Arial" w:hAnsi="Arial"/>
          <w:sz w:val="24"/>
          <w:sz w:val="24"/>
          <w:szCs w:val="24"/>
          <w:rtl w:val="true"/>
        </w:rPr>
        <w:t>ך הכל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60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לנוכח עברו של המערער אין מקרה זה דומה לענייננו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>
          <w:rFonts w:ascii="Arial" w:hAnsi="Arial" w:cs="Arial"/>
          <w:sz w:val="24"/>
          <w:szCs w:val="24"/>
        </w:rPr>
      </w:pPr>
      <w:hyperlink r:id="rId2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20782-06-09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נגד אבו סבלאן –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צעיר ללא עבר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הורשע לאחר ניהול הוכחות בביצוע עבירות חבלה ופציעה בנסיבות מחמירות ונשיאת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לאחר שיחד עם אחר ירה לעבר המתלונן באמצעות אקדח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כתוצאה מהירי נגרם למתלונן שבר ריסוק והוא נותח ואושפז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לאחר האירוע הושג הסכם סולחה בין המשפחות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בנסיבות בהן לא נטל הנאשם אחריות על מעשיו הוטלו עליו </w:t>
      </w:r>
      <w:r>
        <w:rPr>
          <w:rFonts w:cs="Arial" w:ascii="Arial" w:hAnsi="Arial"/>
          <w:sz w:val="24"/>
          <w:szCs w:val="24"/>
        </w:rPr>
        <w:t>60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הנאשם עמד על כך שעברו של הנאשם אינו מכביד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הוא צעיר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לילדים רכים בשנים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נורמטיבי ועובד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מתוך מאות האנשים שהיו מעורבים באירוע הוא היחיד שנעצר והועמד לדין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ובחלוף הזמן מע</w:t>
      </w:r>
      <w:r>
        <w:rPr>
          <w:rFonts w:ascii="Arial" w:hAnsi="Arial"/>
          <w:sz w:val="24"/>
          <w:sz w:val="24"/>
          <w:szCs w:val="24"/>
          <w:rtl w:val="true"/>
        </w:rPr>
        <w:t>ת</w:t>
      </w:r>
      <w:r>
        <w:rPr>
          <w:rFonts w:ascii="Arial" w:hAnsi="Arial"/>
          <w:sz w:val="24"/>
          <w:sz w:val="24"/>
          <w:szCs w:val="24"/>
          <w:rtl w:val="true"/>
        </w:rPr>
        <w:t xml:space="preserve"> האירוע לא זו בלבד שלא היו אירועים נוספים בינו לבין משפחת המתלונן אלא שאף הושג הסכם סולחה בין המשפחות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אלה עתר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הנאשם להשית על הנאשם עונש של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שירוצה בדרך של עבודות שירות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כתימוכין לעתירתו הפנה הנאשם לאסופת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ממנה אפנה </w:t>
      </w:r>
      <w:r>
        <w:rPr>
          <w:rFonts w:ascii="Arial" w:hAnsi="Arial" w:cs="Arial"/>
          <w:rtl w:val="true"/>
        </w:rPr>
        <w:t>לפסקי הדין המפורטים 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both"/>
        <w:rPr>
          <w:rFonts w:ascii="Arial" w:hAnsi="Arial" w:cs="Arial"/>
          <w:sz w:val="24"/>
          <w:szCs w:val="24"/>
        </w:rPr>
      </w:pPr>
      <w:hyperlink r:id="rId2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8151/05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נגד אבו מדיעם – בגין סכסוך משפחתי בין פלגים במשפחה התרחשה קטטה המונית באמצעות אלות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מקלות עץ והנאשם הורשע בעבירות חבלה בכוונה מחמירה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תקיפה בנסיבות מחמירות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הפרת הוראה חוקית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איומים והחזקת סכין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תסקיר שירות המבחן לא בא בהמלצה טיפולית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הושג הסכם סולחה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בית המשפט הטיל על הנאשם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תפ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ח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מחוזי ת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א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cs="Arial" w:ascii="Arial" w:hAnsi="Arial"/>
          <w:sz w:val="24"/>
          <w:szCs w:val="24"/>
        </w:rPr>
        <w:t>40020/00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נגד מסראווה – בעקבות ויכוח הגיעו הנאשמים למסעדה וירו בשני אקדחים שהיו ברשותם לכל עבר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כתוצאה מהיריות נגרם מותו של אדם ונפצעו נוספים שעבדו במסעדה באותה העת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בית המשפט הטיל על הנאשמים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לא מצאתי לסקור פסיקה שהוגשה לי שאינה רלבנטית או כזו המתייחסת לעבירות </w:t>
      </w:r>
      <w:r>
        <w:rPr>
          <w:rFonts w:ascii="Arial" w:hAnsi="Arial"/>
          <w:sz w:val="24"/>
          <w:sz w:val="24"/>
          <w:szCs w:val="24"/>
          <w:rtl w:val="true"/>
        </w:rPr>
        <w:t>חמורות פחות</w:t>
      </w:r>
      <w:r>
        <w:rPr>
          <w:rFonts w:ascii="Arial" w:hAnsi="Arial"/>
          <w:sz w:val="24"/>
          <w:sz w:val="24"/>
          <w:szCs w:val="24"/>
          <w:rtl w:val="true"/>
        </w:rPr>
        <w:t xml:space="preserve"> שנדונו בבית משפט השלום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אשר למשמעות הסולחה בשלב הטיעונים לעונש הפנה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הנאשם ל</w:t>
      </w:r>
      <w:hyperlink r:id="rId27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7126/04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גדיר נגד מדינת ישראל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א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621/04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עלי אסעד נגד אמל קבלאן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וכן הפנה למאמרו של רון שפירא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הגיעה העת לסולחה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>שפורסם בפרקליט מח תשס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start="108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הביע חרטה על מעשיו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קביעת מתחם העונש ההולם</w:t>
      </w:r>
    </w:p>
    <w:p>
      <w:pPr>
        <w:pStyle w:val="Normal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בהתאם </w:t>
      </w:r>
      <w:hyperlink r:id="rId2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מתחם העונש ההולם לכל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מעשה עבירה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ייקבע בהתאם לעקרון ההלימה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התחשבות בערך החברתי שנפגע מביצוע העבירה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במידת הפגיעה בו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בתוך המתחם האמור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בית המשפט לגזור את העונש המתאים לנאשם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בהתחשב בנסיבות שאינן קשורות בביצוע העבירה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כגון נסיבותיו האישיות של הנאשם ועברו הפלילי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אלא אם כן מוצא בית המשפט נסיבות המצדיקות סטייה מהמתחם האמור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לאחר עיון בעובדות כתב האישום המתוקן מצאתי כי המדובר במעשה עבירה אחד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החל כאשר הנאשם הגיע לזירת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 xml:space="preserve">מריבה כשהוא נושא </w:t>
      </w:r>
      <w:r>
        <w:rPr>
          <w:rFonts w:ascii="Arial" w:hAnsi="Arial"/>
          <w:sz w:val="24"/>
          <w:sz w:val="24"/>
          <w:szCs w:val="24"/>
          <w:rtl w:val="true"/>
        </w:rPr>
        <w:t xml:space="preserve">אקדח </w:t>
      </w:r>
      <w:r>
        <w:rPr>
          <w:rFonts w:ascii="Arial" w:hAnsi="Arial"/>
          <w:sz w:val="24"/>
          <w:sz w:val="24"/>
          <w:szCs w:val="24"/>
          <w:rtl w:val="true"/>
        </w:rPr>
        <w:t xml:space="preserve">על גופו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בלוויית בני משפחתו שהיו מצוידים באלות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ציפה ונערך לקיומו של עימות אלים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יזם אותו ולא היסס להשתמש בכוח – והכל בשל ויכוח על סכום כסף פעוט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אף לאחר שנס המתלונן על נפשו המשיכו הנאשם ובני משפחתו לרדוף אחריו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מתחם המשפחות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>מקום בו נכחו אנשים רבים והיתה התקהלות רבתי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ואף לאחר שכוחות משטרה ומנהיגי משפחות ניסו ככל יכולתם להפריד בין הניצים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המשיכו הנאשם ובני משפחתו בפרץ האלימות והנאשם אף הרהיב עוז וביצע ירי במספר הזדמנויות לעבר קהל אנשים מבני משפחת אזברגה תוך שכיוון בכוונת מכוון לפגוע בהם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ולאחר מכן נמלט מזירת האירוע</w:t>
      </w:r>
      <w:r>
        <w:rPr>
          <w:rFonts w:cs="Arial" w:ascii="Arial" w:hAnsi="Arial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במעשיו של הנאשם יש להצביע על בריונות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כוחנות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תעוזה עבריינית של ממש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זלזול בחיי אדם ופגיעה בתחושת הביטחון של הציבור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לא ניתן להשלים עם מצב של ירי באזור מגורים בשל סכסוך אישי או כעס 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בית המשפט העליון אמר דברו לא אחת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אלה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הנוטלים את החוק לידיהם ומנסים ליישב סכסוכים וויכוחים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שימוש בנשק קר או חם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נקבע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יש להילחם בתופעה זו באמצעות ענישה קשה ומחמירה</w:t>
      </w:r>
      <w:r>
        <w:rPr>
          <w:rFonts w:ascii="Arial" w:hAnsi="Arial"/>
          <w:sz w:val="24"/>
          <w:sz w:val="24"/>
          <w:szCs w:val="24"/>
          <w:rtl w:val="true"/>
        </w:rPr>
        <w:t xml:space="preserve"> כפי שנפסק</w:t>
      </w:r>
      <w:r>
        <w:rPr>
          <w:rFonts w:ascii="Arial" w:hAnsi="Arial"/>
          <w:sz w:val="24"/>
          <w:sz w:val="24"/>
          <w:szCs w:val="24"/>
          <w:rtl w:val="true"/>
        </w:rPr>
        <w:t xml:space="preserve"> ב</w:t>
      </w:r>
      <w:hyperlink r:id="rId3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5753/04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רייכמן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7.2.2005</w:t>
      </w:r>
      <w:r>
        <w:rPr>
          <w:rFonts w:cs="Arial" w:ascii="Arial" w:hAnsi="Arial"/>
          <w:sz w:val="24"/>
          <w:szCs w:val="24"/>
          <w:rtl w:val="true"/>
        </w:rPr>
        <w:t>):</w:t>
      </w:r>
    </w:p>
    <w:p>
      <w:pPr>
        <w:pStyle w:val="ListParagraph"/>
        <w:ind w:start="144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לאחרונה נתקלים אנו במעשי בריונות שלא ידענו בעבר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שאם בעבר יישבו צעירים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וגם מי שאינם צעירים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חילוקי דעות שביניהם בסכינים שנעצו בגופו של הזולת – 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>תת תרבות הסכין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קראנו לתופעה ממאירה זו – הנה כיום עלינו – או שמא נאמר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/>
          <w:sz w:val="24"/>
          <w:sz w:val="24"/>
          <w:szCs w:val="24"/>
          <w:rtl w:val="true"/>
        </w:rPr>
        <w:t>ירדנו – ברמה ובחומרה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לא עוד יישוב סיכסוכים בנשק קר אלא יישוב סיכסוכים בנשק חם</w:t>
      </w:r>
      <w:r>
        <w:rPr>
          <w:rFonts w:cs="Arial" w:ascii="Arial" w:hAnsi="Arial"/>
          <w:sz w:val="24"/>
          <w:szCs w:val="24"/>
          <w:rtl w:val="true"/>
        </w:rPr>
        <w:t xml:space="preserve">... </w:t>
      </w:r>
      <w:r>
        <w:rPr>
          <w:rFonts w:ascii="Arial" w:hAnsi="Arial"/>
          <w:sz w:val="24"/>
          <w:sz w:val="24"/>
          <w:szCs w:val="24"/>
          <w:rtl w:val="true"/>
        </w:rPr>
        <w:t>תופעה נוראה זו פשתה בחברתנו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היתה כמחלה ממארת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וחובה היא המוטלת עלינו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בית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המשפט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להעלות תרומתו למלחמה קשה זו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מלחמה היא שאסור לעשות בה ויתורים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שאם נוותר ונסלח תתגבר התופעה ותלך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חברתנו הפכה להיותה חברה אלימה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ותרומתו של בית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המשפט למלחמה  באלימות היא בהטלת עונשים ראויים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בבואנו לגזור עונשים על עבריינים כמשיב שלפנינו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שומה עלינו לשוות נגד עינינו לא רק את המשיב ואת צורכי שיקומו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לא רק את משפחתו הסובלת בשל מעשיו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אלא גם את הנפגעים ממעשיו של המשיב ואת הנפגעים ממעשים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בכוח שייעשו אם לא נגיב בחומרה על מעשים כמעשה המשיב</w:t>
      </w:r>
      <w:r>
        <w:rPr>
          <w:rFonts w:cs="Arial" w:ascii="Arial" w:hAnsi="Arial"/>
          <w:sz w:val="24"/>
          <w:szCs w:val="24"/>
          <w:rtl w:val="true"/>
        </w:rPr>
        <w:t>" (</w:t>
      </w:r>
      <w:r>
        <w:rPr>
          <w:rFonts w:ascii="Arial" w:hAnsi="Arial"/>
          <w:sz w:val="24"/>
          <w:sz w:val="24"/>
          <w:szCs w:val="24"/>
          <w:rtl w:val="true"/>
        </w:rPr>
        <w:t>וראו גם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6412/10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לוי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מדינת ישראל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19.7.2011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3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175/10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חנוכייב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מדינת ישראל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28.7.2011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3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8675/09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דיגנקוב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מדינת ישראל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18.6.2008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34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3519/04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דנן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מדינת ישראל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20.9.2004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3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6395/12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עזריאל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מדינת ישראל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2.2.2014</w:t>
      </w:r>
      <w:r>
        <w:rPr>
          <w:rFonts w:cs="Arial" w:ascii="Arial" w:hAnsi="Arial"/>
          <w:sz w:val="24"/>
          <w:szCs w:val="24"/>
          <w:rtl w:val="true"/>
        </w:rPr>
        <w:t>))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כן נקבע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עבירות נשק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מקימות פוטנציאל להסלמה עבריינית ויוצרות סיכון ממשי וחמור לשלום הציבור וביטחונו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 xml:space="preserve">וכי החומרה שבעבירות הנשק מתבטאת גם במה שעלול היה להתרחש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3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116/13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ועקנין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מדינת ישראל</w:t>
      </w:r>
      <w:r>
        <w:rPr>
          <w:rFonts w:cs="Arial" w:ascii="Arial" w:hAnsi="Arial"/>
          <w:sz w:val="24"/>
          <w:szCs w:val="24"/>
          <w:rtl w:val="true"/>
        </w:rPr>
        <w:t>, 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 xml:space="preserve">]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(‏</w:t>
      </w:r>
      <w:r>
        <w:rPr>
          <w:rFonts w:cs="Arial" w:ascii="Arial" w:hAnsi="Arial"/>
          <w:sz w:val="24"/>
          <w:szCs w:val="24"/>
        </w:rPr>
        <w:t>31.7.2013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hyperlink r:id="rId37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3156/11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זראיעה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מדינת ישראל</w:t>
      </w:r>
      <w:r>
        <w:rPr>
          <w:rFonts w:cs="Arial" w:ascii="Arial" w:hAnsi="Arial"/>
          <w:sz w:val="24"/>
          <w:szCs w:val="24"/>
          <w:rtl w:val="true"/>
        </w:rPr>
        <w:t>, 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 xml:space="preserve">]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cs="Arial" w:ascii="Arial" w:hAnsi="Arial"/>
          <w:sz w:val="24"/>
          <w:szCs w:val="24"/>
        </w:rPr>
        <w:t>21.02.2012</w:t>
      </w:r>
      <w:r>
        <w:rPr>
          <w:rFonts w:cs="Arial" w:ascii="Arial" w:hAnsi="Arial"/>
          <w:sz w:val="24"/>
          <w:szCs w:val="24"/>
          <w:rtl w:val="true"/>
        </w:rPr>
        <w:t xml:space="preserve">)).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סיכון זה למרבה הצער אף התממש במקרה דנן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עת נפגעו מירי של כדורים תועים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שאין די ראיות על מנת לקשרו למי מן המעורבים באירוע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עלי ורמדאן אזברגה וכן מצא את מותו הטראגי השיח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איברהים אזברגה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שהגיע למקום על מנת לנסות לפשר ולפייס בין הניצים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בהתאם לכך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38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2006/12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 xml:space="preserve">אסדי </w:t>
      </w:r>
      <w:r>
        <w:rPr>
          <w:rFonts w:cs="Arial" w:ascii="Arial" w:hAnsi="Arial"/>
          <w:sz w:val="24"/>
          <w:szCs w:val="24"/>
          <w:rtl w:val="true"/>
        </w:rPr>
        <w:t>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28.3.2012</w:t>
      </w:r>
      <w:r>
        <w:rPr>
          <w:rFonts w:cs="Arial" w:ascii="Arial" w:hAnsi="Arial"/>
          <w:sz w:val="24"/>
          <w:szCs w:val="24"/>
          <w:rtl w:val="true"/>
        </w:rPr>
        <w:t>),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/>
          <w:sz w:val="24"/>
          <w:sz w:val="24"/>
          <w:szCs w:val="24"/>
          <w:rtl w:val="true"/>
        </w:rPr>
        <w:t>עניין אסדי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3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7502/12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כוויס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מדינת ישראל</w:t>
      </w:r>
      <w:r>
        <w:rPr>
          <w:rFonts w:cs="Arial" w:ascii="Arial" w:hAnsi="Arial"/>
          <w:sz w:val="24"/>
          <w:szCs w:val="24"/>
          <w:rtl w:val="true"/>
        </w:rPr>
        <w:t>, 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 xml:space="preserve">]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cs="Arial" w:ascii="Arial" w:hAnsi="Arial"/>
          <w:sz w:val="24"/>
          <w:szCs w:val="24"/>
        </w:rPr>
        <w:t>25.6.2013</w:t>
      </w:r>
      <w:r>
        <w:rPr>
          <w:rFonts w:cs="Arial" w:ascii="Arial" w:hAnsi="Arial"/>
          <w:sz w:val="24"/>
          <w:szCs w:val="24"/>
          <w:rtl w:val="true"/>
        </w:rPr>
        <w:t xml:space="preserve">)).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8870/12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חאלדי נגד מדינת ישראל הורשעו הנאשמים בתקיפת מתלונן באמצעות מוט ברזל ושוקר חשמלי בגין ויכוח אודות איסוף בקבוקים בסמוך לתחנת 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ממעשיהם נחבל המתלונן ונגרמו לו שברים וחבלות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שהושת על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צעירים נעדרי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אושר על ידי 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עשיית שימוש בנשק 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בהתחשב בערך החברתי המוגן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במידת הפגיעה בו בנסיבות האירוע דנן וברמת הענישה</w:t>
      </w:r>
      <w:r>
        <w:rPr>
          <w:rFonts w:cs="Arial" w:ascii="Arial" w:hAnsi="Arial"/>
          <w:sz w:val="24"/>
          <w:szCs w:val="24"/>
          <w:rtl w:val="true"/>
        </w:rPr>
        <w:t xml:space="preserve">,  </w:t>
      </w:r>
      <w:r>
        <w:rPr>
          <w:rFonts w:ascii="Arial" w:hAnsi="Arial"/>
          <w:sz w:val="24"/>
          <w:sz w:val="24"/>
          <w:szCs w:val="24"/>
          <w:rtl w:val="true"/>
        </w:rPr>
        <w:t xml:space="preserve">אני קובעת כי מתחם הענישה במקרה דנן נע בין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60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לחודשי מאסר בפועל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נסיבות שאינן קשורות בביצוע העבירה</w:t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הינו צעיר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לילדים קטנים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ועברו הפלילי אינו מכביד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כמו כן יש לזקוף לזכותו את הודאתו ולקיחת האחריות במיוחס 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העובדה שהוא היחיד ממשתתפי האירוע שהועמד לדין ואת הח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סכון בזמן השיפוטי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שיקול נוסף הינו העובדה כי בין משפחת הנאשם למשפחת המתלונן הושג הסכם סולחה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ואף הופקד פיצוי בסך </w:t>
      </w:r>
      <w:r>
        <w:rPr>
          <w:rFonts w:cs="Arial" w:ascii="Arial" w:hAnsi="Arial"/>
          <w:sz w:val="24"/>
          <w:szCs w:val="24"/>
        </w:rPr>
        <w:t>50,000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ascii="Arial" w:hAnsi="Arial"/>
          <w:sz w:val="24"/>
          <w:sz w:val="24"/>
          <w:szCs w:val="24"/>
          <w:rtl w:val="true"/>
        </w:rPr>
        <w:t>משפחת המנוח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מאידך אין להתעלם מכך שלהתרשמות שירות המבחן הנאשם נוטה להשליך האחריות על מעשיו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אין מקום בשלב זה להתערבות טיפולית וכי דווקא ענישה מוחשית תוכל להציב לנאשם גבולות ברורים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אף שהסולחה יכולה להוות שיקול בגזירת העונש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היא אינה בגדר שיקול מכריע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וכפי שנ</w:t>
      </w:r>
      <w:r>
        <w:rPr>
          <w:rFonts w:ascii="Arial" w:hAnsi="Arial"/>
          <w:sz w:val="24"/>
          <w:sz w:val="24"/>
          <w:szCs w:val="24"/>
          <w:rtl w:val="true"/>
        </w:rPr>
        <w:t>פסק</w:t>
      </w:r>
      <w:r>
        <w:rPr>
          <w:rFonts w:ascii="Arial" w:hAnsi="Arial"/>
          <w:sz w:val="24"/>
          <w:sz w:val="24"/>
          <w:szCs w:val="24"/>
          <w:rtl w:val="true"/>
        </w:rPr>
        <w:t xml:space="preserve"> ב</w:t>
      </w:r>
      <w:hyperlink r:id="rId4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6340/11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זחיאקה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מדינת ישראל</w:t>
      </w:r>
      <w:r>
        <w:rPr>
          <w:rFonts w:cs="Arial" w:ascii="Arial" w:hAnsi="Arial"/>
          <w:sz w:val="24"/>
          <w:szCs w:val="24"/>
          <w:rtl w:val="true"/>
        </w:rPr>
        <w:t>, [</w:t>
      </w:r>
      <w:r>
        <w:rPr>
          <w:rFonts w:ascii="Arial" w:hAnsi="Arial"/>
          <w:sz w:val="24"/>
          <w:sz w:val="24"/>
          <w:szCs w:val="24"/>
          <w:rtl w:val="true"/>
        </w:rPr>
        <w:t>פורסם בנבו</w:t>
      </w:r>
      <w:r>
        <w:rPr>
          <w:rFonts w:cs="Arial" w:ascii="Arial" w:hAnsi="Arial"/>
          <w:sz w:val="24"/>
          <w:szCs w:val="24"/>
          <w:rtl w:val="true"/>
        </w:rPr>
        <w:t xml:space="preserve">]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cs="Arial" w:ascii="Arial" w:hAnsi="Arial"/>
          <w:sz w:val="24"/>
          <w:szCs w:val="24"/>
        </w:rPr>
        <w:t>16.2.2012</w:t>
      </w:r>
      <w:r>
        <w:rPr>
          <w:rFonts w:cs="Arial" w:ascii="Arial" w:hAnsi="Arial"/>
          <w:sz w:val="24"/>
          <w:szCs w:val="24"/>
          <w:rtl w:val="true"/>
        </w:rPr>
        <w:t>)):</w:t>
      </w:r>
    </w:p>
    <w:p>
      <w:pPr>
        <w:pStyle w:val="ListParagraph"/>
        <w:ind w:start="1440"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אין חולק כי אקט הסולחה מקדם את השכנת השלום בין הנאשם לבין קורבנו וכי הוא מלמד על נטילת אחריות מצד הראשון תוך פיצויו של האחרון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אולם הסולחה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הנערכת במסגרות פרטיות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אינה יכולה לשמש תחליף לענישה על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פי חוק בידיהן של רשויות האכיפה</w:t>
      </w:r>
      <w:r>
        <w:rPr>
          <w:rFonts w:cs="Arial" w:ascii="Arial" w:hAnsi="Arial"/>
          <w:sz w:val="24"/>
          <w:szCs w:val="24"/>
          <w:rtl w:val="true"/>
        </w:rPr>
        <w:t>".</w:t>
      </w:r>
    </w:p>
    <w:p>
      <w:pPr>
        <w:pStyle w:val="ListParagraph"/>
        <w:ind w:start="1440"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לאור האמור לעיל הנני גוזרת על הנאשם את העונשים הבאים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ind w:hanging="720" w:start="144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</w:t>
      </w:r>
      <w:r>
        <w:rPr>
          <w:rFonts w:cs="Arial" w:ascii="Arial" w:hAnsi="Arial"/>
          <w:sz w:val="24"/>
          <w:szCs w:val="24"/>
          <w:rtl w:val="true"/>
        </w:rPr>
        <w:t>.</w:t>
        <w:tab/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של הנאשם מיום </w:t>
      </w:r>
      <w:r>
        <w:rPr>
          <w:rFonts w:cs="Arial" w:ascii="Arial" w:hAnsi="Arial"/>
          <w:sz w:val="24"/>
          <w:szCs w:val="24"/>
        </w:rPr>
        <w:t>4.3.13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עד ל</w:t>
      </w:r>
      <w:r>
        <w:rPr>
          <w:rFonts w:ascii="Arial" w:hAnsi="Arial"/>
          <w:sz w:val="24"/>
          <w:sz w:val="24"/>
          <w:szCs w:val="24"/>
          <w:rtl w:val="true"/>
        </w:rPr>
        <w:t xml:space="preserve">יום </w:t>
      </w:r>
      <w:r>
        <w:rPr>
          <w:rFonts w:cs="Arial" w:ascii="Arial" w:hAnsi="Arial"/>
          <w:sz w:val="24"/>
          <w:szCs w:val="24"/>
        </w:rPr>
        <w:t>17.6.14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hanging="720" w:start="144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.</w:t>
        <w:tab/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על תנאי והתנאי הוא שתוך שנתיים מיום שחרורו ממאסר לא יעבור הנאשם עבירה מן העבירות בהן הורשע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כל עבירת נשק שהיא פשע וכל עבירת אלימות שהיא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hanging="720" w:start="144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ג</w:t>
      </w:r>
      <w:r>
        <w:rPr>
          <w:rFonts w:cs="Arial" w:ascii="Arial" w:hAnsi="Arial"/>
          <w:sz w:val="24"/>
          <w:szCs w:val="24"/>
          <w:rtl w:val="true"/>
        </w:rPr>
        <w:t>.</w:t>
        <w:tab/>
      </w:r>
      <w:r>
        <w:rPr>
          <w:rFonts w:ascii="Arial" w:hAnsi="Arial"/>
          <w:sz w:val="24"/>
          <w:sz w:val="24"/>
          <w:szCs w:val="24"/>
          <w:rtl w:val="true"/>
        </w:rPr>
        <w:t xml:space="preserve">פיצוי בסך </w:t>
      </w:r>
      <w:r>
        <w:rPr>
          <w:rFonts w:cs="Arial" w:ascii="Arial" w:hAnsi="Arial"/>
          <w:sz w:val="24"/>
          <w:szCs w:val="24"/>
        </w:rPr>
        <w:t>50,000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שהופקד </w:t>
      </w:r>
      <w:r>
        <w:rPr>
          <w:rFonts w:ascii="Arial" w:hAnsi="Arial"/>
          <w:sz w:val="24"/>
          <w:sz w:val="24"/>
          <w:szCs w:val="24"/>
          <w:rtl w:val="true"/>
        </w:rPr>
        <w:t>בקופת בית המשפט לטובת משפחת המנוח</w:t>
      </w:r>
      <w:r>
        <w:rPr>
          <w:rFonts w:ascii="Arial" w:hAnsi="Arial"/>
          <w:sz w:val="24"/>
          <w:sz w:val="24"/>
          <w:szCs w:val="24"/>
          <w:rtl w:val="true"/>
        </w:rPr>
        <w:t xml:space="preserve"> ואשר יועברו למשפחת המנוח בהתאם להוראות </w:t>
      </w:r>
      <w:hyperlink r:id="rId4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 נפגעי עבירה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תשס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א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2001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hanging="720" w:start="144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ד</w:t>
      </w:r>
      <w:r>
        <w:rPr>
          <w:rFonts w:cs="Arial" w:ascii="Arial" w:hAnsi="Arial"/>
          <w:sz w:val="24"/>
          <w:szCs w:val="24"/>
          <w:rtl w:val="true"/>
        </w:rPr>
        <w:t>.</w:t>
        <w:tab/>
      </w:r>
      <w:r>
        <w:rPr>
          <w:rFonts w:ascii="Arial" w:hAnsi="Arial"/>
          <w:sz w:val="24"/>
          <w:sz w:val="24"/>
          <w:szCs w:val="24"/>
          <w:rtl w:val="true"/>
        </w:rPr>
        <w:t>הנאשם יתייצב לריצוי מאסרו ביום א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cs="Arial" w:ascii="Arial" w:hAnsi="Arial"/>
          <w:sz w:val="24"/>
          <w:szCs w:val="24"/>
        </w:rPr>
        <w:t>2.11.14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עד השעה </w:t>
      </w:r>
      <w:r>
        <w:rPr>
          <w:rFonts w:cs="Arial" w:ascii="Arial" w:hAnsi="Arial"/>
          <w:sz w:val="24"/>
          <w:szCs w:val="24"/>
        </w:rPr>
        <w:t>11:00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במזכירות בית המשפט כשהוא מצויד בתעודת זהות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לבית המשפט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</w:r>
      <w:bookmarkStart w:id="9" w:name="_GoBack"/>
      <w:bookmarkEnd w:id="9"/>
      <w:r>
        <w:rPr>
          <w:rFonts w:cs="Arial" w:ascii="Arial" w:hAnsi="Arial"/>
          <w:rtl w:val="true"/>
        </w:rPr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30974-03-14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אלנצאצרה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329.a.1.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.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2.a." TargetMode="External"/><Relationship Id="rId11" Type="http://schemas.openxmlformats.org/officeDocument/2006/relationships/hyperlink" Target="http://www.nevo.co.il/law/70301/499.a.1." TargetMode="External"/><Relationship Id="rId12" Type="http://schemas.openxmlformats.org/officeDocument/2006/relationships/hyperlink" Target="http://www.nevo.co.il/law/71835" TargetMode="External"/><Relationship Id="rId13" Type="http://schemas.openxmlformats.org/officeDocument/2006/relationships/hyperlink" Target="http://www.nevo.co.il/law/71835/22" TargetMode="External"/><Relationship Id="rId14" Type="http://schemas.openxmlformats.org/officeDocument/2006/relationships/hyperlink" Target="http://www.nevo.co.il/law/70301/499.a.1.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382.a." TargetMode="External"/><Relationship Id="rId18" Type="http://schemas.openxmlformats.org/officeDocument/2006/relationships/hyperlink" Target="http://www.nevo.co.il/law/70301/144.b." TargetMode="External"/><Relationship Id="rId19" Type="http://schemas.openxmlformats.org/officeDocument/2006/relationships/hyperlink" Target="http://www.nevo.co.il/law/70301/329.a.1.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.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case/4336103" TargetMode="External"/><Relationship Id="rId24" Type="http://schemas.openxmlformats.org/officeDocument/2006/relationships/hyperlink" Target="http://www.nevo.co.il/case/5782321" TargetMode="External"/><Relationship Id="rId25" Type="http://schemas.openxmlformats.org/officeDocument/2006/relationships/hyperlink" Target="http://www.nevo.co.il/case/4277163" TargetMode="External"/><Relationship Id="rId26" Type="http://schemas.openxmlformats.org/officeDocument/2006/relationships/hyperlink" Target="http://www.nevo.co.il/case/2242863" TargetMode="External"/><Relationship Id="rId27" Type="http://schemas.openxmlformats.org/officeDocument/2006/relationships/hyperlink" Target="http://www.nevo.co.il/case/6096035" TargetMode="External"/><Relationship Id="rId28" Type="http://schemas.openxmlformats.org/officeDocument/2006/relationships/hyperlink" Target="http://www.nevo.co.il/case/5714349" TargetMode="External"/><Relationship Id="rId29" Type="http://schemas.openxmlformats.org/officeDocument/2006/relationships/hyperlink" Target="http://www.nevo.co.il/law/70301/40c" TargetMode="External"/><Relationship Id="rId30" Type="http://schemas.openxmlformats.org/officeDocument/2006/relationships/hyperlink" Target="http://www.nevo.co.il/case/6030667" TargetMode="External"/><Relationship Id="rId31" Type="http://schemas.openxmlformats.org/officeDocument/2006/relationships/hyperlink" Target="http://www.nevo.co.il/case/6064371" TargetMode="External"/><Relationship Id="rId32" Type="http://schemas.openxmlformats.org/officeDocument/2006/relationships/hyperlink" Target="http://www.nevo.co.il/case/5594517" TargetMode="External"/><Relationship Id="rId33" Type="http://schemas.openxmlformats.org/officeDocument/2006/relationships/hyperlink" Target="http://www.nevo.co.il/case/6135151" TargetMode="External"/><Relationship Id="rId34" Type="http://schemas.openxmlformats.org/officeDocument/2006/relationships/hyperlink" Target="http://www.nevo.co.il/case/5900820" TargetMode="External"/><Relationship Id="rId35" Type="http://schemas.openxmlformats.org/officeDocument/2006/relationships/hyperlink" Target="http://www.nevo.co.il/case/5594448" TargetMode="External"/><Relationship Id="rId36" Type="http://schemas.openxmlformats.org/officeDocument/2006/relationships/hyperlink" Target="http://www.nevo.co.il/case/5568354" TargetMode="External"/><Relationship Id="rId37" Type="http://schemas.openxmlformats.org/officeDocument/2006/relationships/hyperlink" Target="http://www.nevo.co.il/case/5878682" TargetMode="External"/><Relationship Id="rId38" Type="http://schemas.openxmlformats.org/officeDocument/2006/relationships/hyperlink" Target="http://www.nevo.co.il/case/5578534" TargetMode="External"/><Relationship Id="rId39" Type="http://schemas.openxmlformats.org/officeDocument/2006/relationships/hyperlink" Target="http://www.nevo.co.il/case/5601503" TargetMode="External"/><Relationship Id="rId40" Type="http://schemas.openxmlformats.org/officeDocument/2006/relationships/hyperlink" Target="http://www.nevo.co.il/case/5599049" TargetMode="External"/><Relationship Id="rId41" Type="http://schemas.openxmlformats.org/officeDocument/2006/relationships/hyperlink" Target="http://www.nevo.co.il/case/5594302" TargetMode="External"/><Relationship Id="rId42" Type="http://schemas.openxmlformats.org/officeDocument/2006/relationships/hyperlink" Target="http://www.nevo.co.il/law/71835/22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2014-11-02T09:16:00Z</dcterms:created>
  <dc:creator> </dc:creator>
  <dc:description/>
  <cp:keywords/>
  <dc:language>en-IL</dc:language>
  <cp:lastModifiedBy>hofit</cp:lastModifiedBy>
  <dcterms:modified xsi:type="dcterms:W3CDTF">2014-11-02T09:16:00Z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אלנצאצרה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ProcID=210&amp;PartA=40020&amp;PartC=00</vt:lpwstr>
  </property>
  <property fmtid="{D5CDD505-2E9C-101B-9397-08002B2CF9AE}" pid="9" name="CASESLISTTMP1">
    <vt:lpwstr>4336103;5782321;4277163;2242863;6096035;5714349;6030667;6064371;5594517;6135151;5900820;5594448;5568354;5878682;5578534;5601503;5599049;5594302</vt:lpwstr>
  </property>
  <property fmtid="{D5CDD505-2E9C-101B-9397-08002B2CF9AE}" pid="10" name="CITY">
    <vt:lpwstr>מרכז</vt:lpwstr>
  </property>
  <property fmtid="{D5CDD505-2E9C-101B-9397-08002B2CF9AE}" pid="11" name="DATE">
    <vt:lpwstr>20141027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מיכל ברנט</vt:lpwstr>
  </property>
  <property fmtid="{D5CDD505-2E9C-101B-9397-08002B2CF9AE}" pid="15" name="LAWLISTTMP1">
    <vt:lpwstr>70301/499.a.1.;380;382.a.;144.b.;329.a.1.;333;335.a.1.;025;040c</vt:lpwstr>
  </property>
  <property fmtid="{D5CDD505-2E9C-101B-9397-08002B2CF9AE}" pid="16" name="LAWLISTTMP2">
    <vt:lpwstr>71835/022</vt:lpwstr>
  </property>
  <property fmtid="{D5CDD505-2E9C-101B-9397-08002B2CF9AE}" pid="17" name="LAWYER">
    <vt:lpwstr>מיכל מזור;שרון נהרי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30974</vt:lpwstr>
  </property>
  <property fmtid="{D5CDD505-2E9C-101B-9397-08002B2CF9AE}" pid="24" name="NEWPARTB">
    <vt:lpwstr>03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390020141027</vt:lpwstr>
  </property>
  <property fmtid="{D5CDD505-2E9C-101B-9397-08002B2CF9AE}" pid="36" name="TYPE_N_DATE">
    <vt:lpwstr>39020141027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