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31216-01-22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נגאר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476"/>
        <w:gridCol w:w="142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6476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אהוביה שטרן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476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מונזר נגאר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היבא קדומי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8" w:name="PsakDin"/>
            <w:bookmarkEnd w:id="8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לו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שני 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התפרעות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פזיזות ורשלנות 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338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3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ועבירה של ניסיון תקיפת שוטר בנסיבות מחמירות 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274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8"/>
            <w:szCs w:val="28"/>
          </w:rPr>
          <w:t>274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8"/>
            <w:szCs w:val="28"/>
          </w:rPr>
          <w:t>274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3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ייצור נשק לפי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האישומים אירעו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חודש הרמד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ן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התרחשו ברחבי הארץ ובייחוד בירושלים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התפרעויות ותקיפות שכללו אלימות זריקת אבנים וחפצים לעבר אנשים וכלי רכב בעלי חזות או סממנים יהודיים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מתוך 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התפרעויות ותקיפות על רקע לאומני נגד כוחות המשטרה והביטחון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האישומים גם אירעו במהלך המבצע הצבאי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החומות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יום </w:t>
      </w:r>
      <w:r>
        <w:rPr>
          <w:rFonts w:cs="FrankRuehl" w:ascii="FrankRuehl" w:hAnsi="FrankRuehl"/>
          <w:sz w:val="28"/>
          <w:szCs w:val="28"/>
        </w:rPr>
        <w:t>10.05.21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ירי רקטות מסיבי לעבר אזור 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המרכז ועוטף עזה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ובמהלכו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המשיכו הפרות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סדר ברחבי הארץ ובירושלים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המתואר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שהה הנאשם בסמוך לביתו במחנה הפליטים שועפט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המחנה</w:t>
      </w:r>
      <w:r>
        <w:rPr>
          <w:rFonts w:cs="FrankRuehl" w:ascii="FrankRuehl" w:hAnsi="FrankRuehl"/>
          <w:sz w:val="28"/>
          <w:szCs w:val="28"/>
          <w:rtl w:val="true"/>
        </w:rPr>
        <w:t xml:space="preserve">").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שמע קולות שהעידו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במחסום המשטרתי בכניסה למחנה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הסמוך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התקיימו עימותים עם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גמלה בליבו החלטה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להצטרף לעימותים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הלך לעבר המחסום והבחין בעשרות רעולי פנים שהתפרעו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יידו אבנים וירו זיקוקים לעבר השוטרים שעמדו בעמדה במחסום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יידה מספר אבנים לעבר כוחות הב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להתפרעות 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דם נוסף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 לחלק זיקוקים למתפרעים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לקח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מאותו אדם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זיקוקים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הצית זיקוק וירה אותו לעבר כוחות הביטחון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 הראשון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18.05.21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החליטו הנאשם ואחרים להכין מספר בקבוקי תבערה כדי ליידות אותם בעימותים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והאחרים התכנסו בבית הספר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אלוקאלה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במחנה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אספו מספר בקבוקי זכוכית מילאו אותם בבנזין 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ניסו לתוכם פיסות סמרטוטים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וכך ייצרו בקבוקי תבערה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אותו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החלה התפרעות כנגד שוטרים בכניסה למחנה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ייודו בקבוקי התעברה אותם ייצרו הנאשם והאחרים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הטיעונים 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 על הערכים המוגנים בעבירות בהן הורשע הנאשם וכן על נסיבות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בכללן הנזק שיכול היה להיגרם ממעשים אלו והפגיעה הקשה בסדר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הנסיבות הדורשות החמרה בענישה הוא הצביע על כך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האירועים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בהם הורשע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אירעו במהלך מבצע שומר החומות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כך שמדובר במכת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בעיקר מכת 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בשכונה בה בוצעו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 נפרדים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השונים באופיים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כן יש לקבוע מתחם נפרד לכל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זו הוא עתר למתחם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תמך את טיעוניו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לעונשו של הנאשם בתוך המתחמים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לחובתו את עברו הפלילי הרלוונטי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הודאתו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לגזור את עונשו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 התחתון של המתחמים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 אפוא לעונש של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האישום הראשון ושל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בגין האישום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חפיפה מסוימת ביניהם להשית עליו עונש של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כך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לא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ממתכנני האירוע שבאישום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שמע קולות ויצא 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צטרף אל המשתתפים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בעימותים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היה רעול פנים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וזרק בעצמו שתי 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וזיקוק אחד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ממרחק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יכול לגרום נזק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באירוע שבאי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אמנם ייצר בקבוקי תעברה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הוא לא נטל חלק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באירוע בו יודו הבקבוקים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מתחם עונש אחד לשני 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שהם התרחשו בסמיכות זמנים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 משבעה חודשי מאסר 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היא תמכה את טיעוניה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הצביעה על כך שמדובר באדם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מלפני חמש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הצביעה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ממועד ביצוע העבירות בחודש מאי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 למעצרו בסוף אותה שנה הוא לא ביצע כל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למעצרו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חי חיים נורמטיביים ועבד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בעיריית 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לזכותו יש לזקוף גם את עובדתו הודאתו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הזדמנות הראשונה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נטילת הא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חריות על מעשיו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 היא ביקשה להסתפק בעונש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הביע חרטה על מעשיו והוסיף  כי נסחף לבצע את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הוסיף כי המעצר הארוך בו שהה לימד אותו לקח וכל שהוא מבקש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לשוב לכלא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למשפחתו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לדאוג לאביו ולאמו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ולהתחיל חיים חדשים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6"/>
          <w:szCs w:val="28"/>
        </w:rPr>
      </w:pPr>
      <w:r>
        <w:rPr>
          <w:rFonts w:cs="FrankRuehl" w:ascii="Century" w:hAnsi="Century"/>
          <w:spacing w:val="6"/>
          <w:szCs w:val="28"/>
        </w:rPr>
        <w:t>11</w:t>
      </w:r>
      <w:r>
        <w:rPr>
          <w:rFonts w:cs="FrankRuehl" w:ascii="Century" w:hAnsi="Century"/>
          <w:spacing w:val="6"/>
          <w:szCs w:val="28"/>
          <w:rtl w:val="true"/>
        </w:rPr>
        <w:t>.</w:t>
        <w:tab/>
      </w:r>
      <w:r>
        <w:rPr>
          <w:rFonts w:ascii="Century" w:hAnsi="Century" w:cs="FrankRuehl"/>
          <w:spacing w:val="6"/>
          <w:szCs w:val="28"/>
          <w:rtl w:val="true"/>
        </w:rPr>
        <w:t>במקרה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זה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שני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</w:t>
      </w:r>
      <w:r>
        <w:rPr>
          <w:rFonts w:ascii="Century" w:hAnsi="Century" w:cs="FrankRuehl"/>
          <w:spacing w:val="6"/>
          <w:szCs w:val="28"/>
          <w:rtl w:val="true"/>
        </w:rPr>
        <w:t>וצעו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בסמיכות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זמנים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כחלק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מהמהומות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שפרצו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במהלך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חודש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הרמד</w:t>
      </w:r>
      <w:r>
        <w:rPr>
          <w:rFonts w:ascii="Century" w:hAnsi="Century" w:cs="FrankRuehl"/>
          <w:spacing w:val="6"/>
          <w:szCs w:val="28"/>
          <w:rtl w:val="true"/>
        </w:rPr>
        <w:t>א</w:t>
      </w:r>
      <w:r>
        <w:rPr>
          <w:rFonts w:ascii="Century" w:hAnsi="Century" w:cs="FrankRuehl"/>
          <w:spacing w:val="6"/>
          <w:szCs w:val="28"/>
          <w:rtl w:val="true"/>
        </w:rPr>
        <w:t>ן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של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שנת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</w:rPr>
        <w:t>2021</w:t>
      </w:r>
      <w:r>
        <w:rPr>
          <w:rFonts w:cs="FrankRuehl" w:ascii="Century" w:hAnsi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והמשיכו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על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רקע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מבצע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"</w:t>
      </w:r>
      <w:r>
        <w:rPr>
          <w:rFonts w:ascii="Century" w:hAnsi="Century" w:cs="FrankRuehl"/>
          <w:spacing w:val="6"/>
          <w:szCs w:val="28"/>
          <w:rtl w:val="true"/>
        </w:rPr>
        <w:t>שומר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החומות</w:t>
      </w:r>
      <w:r>
        <w:rPr>
          <w:rFonts w:cs="FrankRuehl" w:ascii="Century" w:hAnsi="Century"/>
          <w:spacing w:val="6"/>
          <w:szCs w:val="28"/>
          <w:rtl w:val="true"/>
        </w:rPr>
        <w:t xml:space="preserve">". </w:t>
      </w:r>
      <w:r>
        <w:rPr>
          <w:rFonts w:ascii="Century" w:hAnsi="Century" w:cs="FrankRuehl"/>
          <w:spacing w:val="6"/>
          <w:szCs w:val="28"/>
          <w:rtl w:val="true"/>
        </w:rPr>
        <w:t>עובדה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זו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מהווה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כאמור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נסיבה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לחומרה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אך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בד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בבד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היא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גם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מצדיקה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להתבונן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על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שני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כמקשה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אחת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ולקבוע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להם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מתחם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עונש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הולם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אחד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בהתאם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להלכה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שנקבעה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בעניין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ג</w:t>
      </w:r>
      <w:r>
        <w:rPr>
          <w:rFonts w:cs="FrankRuehl" w:ascii="Century" w:hAnsi="Century"/>
          <w:spacing w:val="6"/>
          <w:szCs w:val="28"/>
          <w:rtl w:val="true"/>
        </w:rPr>
        <w:t>'</w:t>
      </w:r>
      <w:r>
        <w:rPr>
          <w:rFonts w:ascii="Century" w:hAnsi="Century" w:cs="FrankRuehl"/>
          <w:spacing w:val="6"/>
          <w:szCs w:val="28"/>
          <w:rtl w:val="true"/>
        </w:rPr>
        <w:t>אבר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6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</w:rPr>
          <w:t>4910/13</w:t>
        </w:r>
      </w:hyperlink>
      <w:r>
        <w:rPr>
          <w:rFonts w:cs="FrankRuehl" w:ascii="Century" w:hAnsi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ג</w:t>
      </w:r>
      <w:r>
        <w:rPr>
          <w:rFonts w:cs="FrankRuehl" w:ascii="Century" w:hAnsi="Century"/>
          <w:b/>
          <w:bCs/>
          <w:spacing w:val="6"/>
          <w:szCs w:val="28"/>
          <w:rtl w:val="true"/>
        </w:rPr>
        <w:t>'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אבר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נ</w:t>
      </w:r>
      <w:r>
        <w:rPr>
          <w:rFonts w:cs="FrankRuehl" w:ascii="Century" w:hAnsi="Century"/>
          <w:b/>
          <w:bCs/>
          <w:spacing w:val="6"/>
          <w:szCs w:val="28"/>
          <w:rtl w:val="true"/>
        </w:rPr>
        <w:t xml:space="preserve">'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ישראל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(</w:t>
      </w:r>
      <w:r>
        <w:rPr>
          <w:rFonts w:cs="FrankRuehl" w:ascii="Century" w:hAnsi="Century"/>
          <w:spacing w:val="6"/>
          <w:szCs w:val="28"/>
        </w:rPr>
        <w:t>29.10.14</w:t>
      </w:r>
      <w:r>
        <w:rPr>
          <w:rFonts w:cs="FrankRuehl" w:ascii="Century" w:hAnsi="Century"/>
          <w:spacing w:val="6"/>
          <w:szCs w:val="28"/>
          <w:rtl w:val="true"/>
        </w:rPr>
        <w:t>))</w:t>
      </w:r>
      <w:r>
        <w:rPr>
          <w:rFonts w:cs="FrankRuehl" w:ascii="Century" w:hAnsi="Century"/>
          <w:spacing w:val="6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6"/>
          <w:szCs w:val="28"/>
        </w:rPr>
      </w:pPr>
      <w:r>
        <w:rPr>
          <w:rFonts w:cs="FrankRuehl" w:ascii="Century" w:hAnsi="Century"/>
          <w:spacing w:val="6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שנפגעו כתוצאה ממעשיו של הנאשם הם שלמות הגוף שלומו ובטחונו ורווחתו של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נפגעו הערכים הנוגעים לשלום הציבור ובטחונו והערכים הנוגעים לפגיעה בסדר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להפריז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בחומרת מעשיו של הנאשם הן באישום הראשון והן 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עמד לא אחת על החומרה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הגלומה בעבירות של התפרעות המונית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הנובעת בין היתר מריבוי המשתתפים והמניע הגזעני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ואשר מציבות סכנה ישירה וממשית לחיי אדם ועלולות להוביל לפגיעה בגופו של אדם וברכושו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לנקוט במדינות ענישה שתביא לריסון והרתעה על מנת למנוע את התגברותן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אף מצא לקבוע כי כאשר העבירות בוצעו ממניעים גזעניים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נדחים אף שיקולים הקשורים הנסיבות אישיות או שיקולי שיקום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3.05.20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901/22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אסווד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24.02.22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יתרה מזאת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במצבים אלה אחריותו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נקבעת אך על פי תרומתו הישירה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מתוך ראיה רחבה יותר של מטרתו של ההמון שהוא היה חלק ממנו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10423/07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סיטרין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11.06.08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6"/>
          <w:sz w:val="22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עמד לא פעם על הסכנה הרבה הגלומה בייצור בקבוקי תבערה והשימוש בהם ואת הצורך בהחמרת ההרתעה בכל הנוגע לעבירות מעין אלו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אך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קוואסמה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16.09.13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והאסמכתאות שם</w:t>
      </w:r>
      <w:r>
        <w:rPr>
          <w:rFonts w:cs="FrankRuehl" w:ascii="FrankRuehl" w:hAnsi="FrankRuehl"/>
          <w:sz w:val="28"/>
          <w:szCs w:val="28"/>
          <w:rtl w:val="true"/>
        </w:rPr>
        <w:t>).</w:t>
      </w:r>
      <w:r>
        <w:rPr>
          <w:rFonts w:cs="FrankRuehl" w:ascii="Century" w:hAnsi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בפרט</w:t>
      </w:r>
      <w:r>
        <w:rPr>
          <w:rFonts w:cs="FrankRuehl" w:ascii="Century" w:hAnsi="Century"/>
          <w:spacing w:val="6"/>
          <w:szCs w:val="28"/>
          <w:rtl w:val="true"/>
        </w:rPr>
        <w:t xml:space="preserve">, </w:t>
      </w:r>
      <w:r>
        <w:rPr>
          <w:rFonts w:ascii="Century" w:hAnsi="Century" w:cs="FrankRuehl"/>
          <w:spacing w:val="6"/>
          <w:szCs w:val="28"/>
          <w:rtl w:val="true"/>
        </w:rPr>
        <w:t>עמד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בית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המשפט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על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החומרה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היתרה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הגלומה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במעשה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כאשר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השימוש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בהם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נעשה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על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רקע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spacing w:val="6"/>
          <w:szCs w:val="28"/>
          <w:rtl w:val="true"/>
        </w:rPr>
        <w:t>לאומני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6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</w:rPr>
          <w:t>292/22</w:t>
        </w:r>
      </w:hyperlink>
      <w:r>
        <w:rPr>
          <w:rFonts w:cs="FrankRuehl" w:ascii="Century" w:hAnsi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ישראל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נ</w:t>
      </w:r>
      <w:r>
        <w:rPr>
          <w:rFonts w:cs="FrankRuehl" w:ascii="Century" w:hAnsi="Century"/>
          <w:b/>
          <w:bCs/>
          <w:spacing w:val="6"/>
          <w:szCs w:val="28"/>
          <w:rtl w:val="true"/>
        </w:rPr>
        <w:t xml:space="preserve">'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חליל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(</w:t>
      </w:r>
      <w:r>
        <w:rPr>
          <w:rFonts w:cs="FrankRuehl" w:ascii="Century" w:hAnsi="Century"/>
          <w:spacing w:val="6"/>
          <w:szCs w:val="28"/>
        </w:rPr>
        <w:t>29.05.22</w:t>
      </w:r>
      <w:r>
        <w:rPr>
          <w:rFonts w:cs="FrankRuehl" w:ascii="Century" w:hAnsi="Century"/>
          <w:spacing w:val="6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6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6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6"/>
            <w:szCs w:val="28"/>
            <w:u w:val="single"/>
          </w:rPr>
          <w:t>5688/12</w:t>
        </w:r>
      </w:hyperlink>
      <w:r>
        <w:rPr>
          <w:rFonts w:cs="FrankRuehl" w:ascii="Century" w:hAnsi="Century"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אלהדי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נ</w:t>
      </w:r>
      <w:r>
        <w:rPr>
          <w:rFonts w:cs="FrankRuehl" w:ascii="Century" w:hAnsi="Century"/>
          <w:b/>
          <w:bCs/>
          <w:spacing w:val="6"/>
          <w:szCs w:val="28"/>
          <w:rtl w:val="true"/>
        </w:rPr>
        <w:t xml:space="preserve">'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pacing w:val="6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6"/>
          <w:szCs w:val="28"/>
          <w:rtl w:val="true"/>
        </w:rPr>
        <w:t>ישראל</w:t>
      </w:r>
      <w:r>
        <w:rPr>
          <w:rFonts w:ascii="Century" w:hAnsi="Century" w:eastAsia="Century" w:cs="Century"/>
          <w:spacing w:val="6"/>
          <w:szCs w:val="28"/>
          <w:rtl w:val="true"/>
        </w:rPr>
        <w:t xml:space="preserve"> </w:t>
      </w:r>
      <w:r>
        <w:rPr>
          <w:rFonts w:cs="FrankRuehl" w:ascii="Century" w:hAnsi="Century"/>
          <w:spacing w:val="6"/>
          <w:szCs w:val="28"/>
          <w:rtl w:val="true"/>
        </w:rPr>
        <w:t>(</w:t>
      </w:r>
      <w:r>
        <w:rPr>
          <w:rFonts w:cs="FrankRuehl" w:ascii="Century" w:hAnsi="Century"/>
          <w:spacing w:val="6"/>
          <w:szCs w:val="28"/>
        </w:rPr>
        <w:t>8.08.12</w:t>
      </w:r>
      <w:r>
        <w:rPr>
          <w:rFonts w:cs="FrankRuehl" w:ascii="Century" w:hAnsi="Century"/>
          <w:spacing w:val="6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eastAsia="Calibri" w:cs="FrankRuehl"/>
          <w:spacing w:val="6"/>
          <w:sz w:val="22"/>
          <w:szCs w:val="28"/>
        </w:rPr>
      </w:pPr>
      <w:r>
        <w:rPr>
          <w:rFonts w:eastAsia="Calibri" w:cs="FrankRuehl" w:ascii="Century" w:hAnsi="Century"/>
          <w:spacing w:val="6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בכדי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הורה המחוקק במסגרת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עונש מינימום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יפחת מרבע העונש המרבי שנקבע לאותה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 ההסבר נאמר כי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567" w:end="567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>למרות העונש הכבד הקבוע בצידה של עבירה זו והחמרת הענישה על ידי בתי המשפט בשלוש השנים האחרונות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עלה מספר העבירות הקשורות לעבירה זו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בהתאם לכך נרשמה עלייה במספר תיקי האלימות שבהם היה שימוש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ומספר הקורבנות בנפש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בפרט בחברה הערבית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גדל אף הוא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נוסף על הנזק הישיר של 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השימוש הנרחב בנשק ובאמצעי ליממה בלתי חוקיים והימצאותם בחברה האזרחית פוגעים בתחושת הביטחון של הציבור ותורמים לעליית הביקוש לנשק בלתי חוקי</w:t>
      </w:r>
      <w:r>
        <w:rPr>
          <w:rFonts w:cs="Miriam" w:ascii="Miriam" w:hAnsi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מאז כניסת התיקון לתוקף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היווה עבור בתי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בסיס למגמת החמרה נוספת של הענישה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באותם מקרים שהוראת התיקון לא חלה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כבמקרה 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אך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עבסה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23.01.22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8869/21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קואסמה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13.03.22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28.07.22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ובפרט לאחרונה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14.09.22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בחינת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 על מגמת ההחמרה בעבירות מסוג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פעם נקבעו מתחמי ענישה חמורים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לעבירות של השתתפות בהתפרעות שכללה יידוי אבני וירי זיקוקים לעבר כוחות הביטחון והן לעבירות של ייצור בקבוקי תבערה אשר שימשו לאחר מכן כנגד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פסקי הדין רבים ודי לציין כמה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4324/16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נגאר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31.07.16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נידון גזר דין של בית המשפט המחוזי שהשית עונש של </w:t>
      </w:r>
      <w:r>
        <w:rPr>
          <w:rFonts w:cs="FrankRuehl" w:ascii="FrankRuehl" w:hAnsi="FrankRuehl"/>
          <w:color w:val="000000"/>
          <w:sz w:val="28"/>
          <w:szCs w:val="28"/>
        </w:rPr>
        <w:t>28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 שהורשע בשני 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שכללו השתתפות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בהפרות 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אבנים לעבר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תקיפת שוטר בנסיבות מחמירות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הערעור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16050-08-15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עבאסי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15.05.16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)‏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של 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48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במקרה 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‏ במהלך ההתפרעות בשכונת סילוואן יודו בקבוקי תבערה ואבנים ונורו זיקוקים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רעול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מספר אבנים לעבר כוחות המשטרה במקום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37387-04-18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דחל אללה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18.02.19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בשתי עבירות של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 נשיאת נשק ובשתי עבירות של ניסיון הצתה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שביצע יחד עם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שהכין איתם בקבוקי תבערה ואך יידה אותם יחד עם האחרים לעבר בית החולים הדסה הר הצופים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עונש הנע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הנעדר הרשעות 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עונש מאסר בפועל למשך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 ומאסר 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hyperlink r:id="rId33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32585-03-21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קוואסמה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10.09.21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מתחם שנע 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בו השליכו הנאשמים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אבנים וזיקוקים אל עבר שער הכניסה למחנה הפליטים שועפט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בשים לב לעובדה כי בקבוקי התבערה והאבנים הושלכו אל עבר השער במטרה למנוע מעבר של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 אל עבר כוחות הביטחון עצמם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9821/16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30.11.17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במסגרת גזר הדין מתחם שנע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מקום בו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 נאשמים על פי הודאותיהם במסגרת הסדר טיעון בעבירות של יידוי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ובעבירה חמורה יותר של ייצור 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tLeast" w:line="360" w:before="0" w:after="160"/>
        <w:ind w:end="0"/>
        <w:jc w:val="both"/>
        <w:rPr>
          <w:rFonts w:ascii="FrankRuehl" w:hAnsi="FrankRuehl" w:cs="Times New Roman"/>
          <w:color w:val="000000"/>
          <w:sz w:val="27"/>
          <w:szCs w:val="27"/>
        </w:rPr>
      </w:pPr>
      <w:r>
        <w:rPr>
          <w:rFonts w:cs="Times New Roman" w:ascii="FrankRuehl" w:hAnsi="FrankRuehl"/>
          <w:color w:val="000000"/>
          <w:sz w:val="27"/>
          <w:szCs w:val="27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פסיקה הנזכרת עוסקת בעבירות של יידוי בקבוקי תבערה ואבנים במהלך התפרעויות ובמקרים בהם הדבר נעשה למטרות טרור וכמעשה טרור כמשמעותם בחוק המאבק בטרור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במקרה זה ישנה חומרה יתרה נוספת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ישנה חומרה יתרה נוספת בשל כך שהמעשים נעשו במסגרת גל התפרעויות אלימות והפרות סדר קשות על רקע לאומני וגזעני שנעשו על ידי תושבים מבית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כדי שמדינת ישראל מצויה בלחימה ותחת ירי רקטות מסיבי לעבר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כמעין חזית פנימית נגד המדינה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התייחס לא פעם לחומרת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עבירות פחותות מאלו שביצע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דוגמת עבירות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בזמן מלחמה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כינה אותם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חסרת מצפון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וראה בכך נסיבה מחמירה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6725/06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מוזס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27.08.06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אחת כמה וכמה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מסוג זה שביצע הנאשם כנגד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קיימת חומרה מיוחדת בביצועם בזמן לחימה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זו בלבד שבשל מעשים אלו יש צורך להפנות כוחות בטחון מעיסוקם כנגד האויב מבחוץ לפעולות בטחון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שבמצב דברים זה תוצאת המעשים אינה מוגבלת לאנשי כוחות הביטחון שכנגדם הופנו המעשים האלימים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כנגד הציבור כולו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יש בו להוסיף על הפחד והבהלה שהייתה נחלתו בשל הלחימה מבחוץ והרקטות הרבות שנפלו בישראל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אם במצבי שגרה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עוצמת הפגיעה של הטרור באה לידי ביטוי בכך שמלבד הפגיעה הישירה שהוא מסב לחיי אדם ולשלמות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יוצר הטרור אפקט פסיכולוגי של פחד ותחושת איום בקרב הציבור כולו ומערער את שגרת חייו של הציבור לאורך זמן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דברי ההסבר להצעת חוק המאבק בטרור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הממשלה </w:t>
      </w:r>
      <w:r>
        <w:rPr>
          <w:rFonts w:cs="FrankRuehl" w:ascii="FrankRuehl" w:hAnsi="FrankRuehl"/>
          <w:sz w:val="28"/>
          <w:szCs w:val="28"/>
        </w:rPr>
        <w:t>1066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שבשעה שהדבר נעשה בשעת לחימה ועת שהציבור נמצא תחת התקפת טילים מסיבית מחוץ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אפקט הפחד ותחושת האיום מתעצמת פי כמה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יש כדי להטיל מורך ולפגוע בחוסן הלאומי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וככל שהחוסן הלאומי ילך וייסדק כך ייפגע גם הביטחון הלאומי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במקרה זה לא היו תוצאות הרות גורל למעשים אלו בהשפעתם על המאמץ הצבאי כלפי חוץ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להבטיח שמעשים מעין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מעשי טרור כנגד כוחות הביטחון בזמן מבצע צבאי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ישנו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ויובילו חלילה לתוצאות חמורות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נוכן לציין את פסקי הדין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4"/>
          <w:szCs w:val="4"/>
        </w:rPr>
      </w:pPr>
      <w:r>
        <w:rPr>
          <w:rFonts w:cs="FrankRuehl" w:ascii="FrankRuehl" w:hAnsi="FrankRuehl"/>
          <w:sz w:val="4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292/22</w:t>
        </w:r>
      </w:hyperlink>
      <w:r>
        <w:rPr>
          <w:rFonts w:cs="FrankRuehl" w:ascii="FrankRuehl" w:hAnsi="FrankRuehl"/>
          <w:color w:val="FF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חליל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</w:rPr>
        <w:t>5.22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בירות של 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הפרעה לשוטר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פזיזות ורשלנות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 נשק והחזקת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הנשק היה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בבית המשפט המחוזי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עונש הולם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נגזרו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החמיר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בעונשו של הנאשם והתווספו לעונש שנגזר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ציין את העובדה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ערכאת הערעור אינה ממצה את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במקום הו היא רואה להחמיר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9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901/22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אסווד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החמ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בית המשפט העליון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 של נאשם אשר הורשע בבית המשפט המחוזי במסגרת הסדר טיעון בעבירות של התפרעות שסופה נזק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הסגת גבול כדי לעבור עבירה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היזק בזדון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המחוזי בחיפה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השית על הנאשם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ובית העליון החמיר בעונש והעמידו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מתחם העונש ההולם מקרה 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לשני האישום כאחד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יליד </w:t>
      </w:r>
      <w:r>
        <w:rPr>
          <w:rFonts w:cs="FrankRuehl" w:ascii="FrankRuehl" w:hAnsi="FrankRuehl"/>
          <w:sz w:val="28"/>
          <w:szCs w:val="28"/>
        </w:rPr>
        <w:t>1997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הרשעה משנת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 השתתפות בהתפרעות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תקיפת שוטר כשהתוקף מזויין בנשק 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לתקיפת שוטר על ידי שלושה או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לתקיפת שוטר כדי להכשילו בתפקידו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עבירות אלה הוא נשא עונש מאסר בפועל לתקופה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 לא הרתיע אותו מלשוב ולעשות מעשים חמורים יותר עתה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לזקוף לזכותו את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סופו של יום ולאחר שנתתי דעתי על מכלול 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שיימנו החל מיום מעצרו </w:t>
      </w:r>
      <w:r>
        <w:rPr>
          <w:rFonts w:cs="FrankRuehl" w:ascii="FrankRuehl" w:hAnsi="FrankRuehl"/>
          <w:sz w:val="28"/>
          <w:szCs w:val="28"/>
        </w:rPr>
        <w:t>4.12.21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ירוצו אלא אם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יעבור הנאשם עבירה מן העבירות בהן הורשע בתקופה של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ממועד שחרורו 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8"/>
          <w:szCs w:val="8"/>
        </w:rPr>
      </w:pPr>
      <w:r>
        <w:rPr>
          <w:rFonts w:cs="FrankRuehl" w:ascii="FrankRuehl" w:hAnsi="FrankRuehl"/>
          <w:sz w:val="8"/>
          <w:szCs w:val="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תשרי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אוקטובר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31216-01-22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מונזר נגאר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"/>
      <w:numFmt w:val="bullet"/>
      <w:lvlText w:val=""/>
      <w:lvlJc w:val="end"/>
      <w:pPr>
        <w:tabs>
          <w:tab w:val="num" w:pos="0"/>
        </w:tabs>
        <w:ind w:start="390" w:hanging="360"/>
      </w:pPr>
      <w:rPr>
        <w:rFonts w:ascii="Symbol" w:hAnsi="Symbol" w:cs="Symbol" w:hint="default"/>
        <w:b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  <w:b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274.2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8.a.3" TargetMode="External"/><Relationship Id="rId13" Type="http://schemas.openxmlformats.org/officeDocument/2006/relationships/hyperlink" Target="http://www.nevo.co.il/law/70301/274.1" TargetMode="External"/><Relationship Id="rId14" Type="http://schemas.openxmlformats.org/officeDocument/2006/relationships/hyperlink" Target="http://www.nevo.co.il/law/70301/274.2" TargetMode="External"/><Relationship Id="rId15" Type="http://schemas.openxmlformats.org/officeDocument/2006/relationships/hyperlink" Target="http://www.nevo.co.il/law/70301/274.3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case/13093721" TargetMode="External"/><Relationship Id="rId19" Type="http://schemas.openxmlformats.org/officeDocument/2006/relationships/hyperlink" Target="http://www.nevo.co.il/case/24263086" TargetMode="External"/><Relationship Id="rId20" Type="http://schemas.openxmlformats.org/officeDocument/2006/relationships/hyperlink" Target="http://www.nevo.co.il/case/28296934" TargetMode="External"/><Relationship Id="rId21" Type="http://schemas.openxmlformats.org/officeDocument/2006/relationships/hyperlink" Target="http://www.nevo.co.il/case/6169945" TargetMode="External"/><Relationship Id="rId22" Type="http://schemas.openxmlformats.org/officeDocument/2006/relationships/hyperlink" Target="http://www.nevo.co.il/case/6859579" TargetMode="External"/><Relationship Id="rId23" Type="http://schemas.openxmlformats.org/officeDocument/2006/relationships/hyperlink" Target="http://www.nevo.co.il/case/28243256" TargetMode="External"/><Relationship Id="rId24" Type="http://schemas.openxmlformats.org/officeDocument/2006/relationships/hyperlink" Target="http://www.nevo.co.il/case/624653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case/28200855" TargetMode="External"/><Relationship Id="rId28" Type="http://schemas.openxmlformats.org/officeDocument/2006/relationships/hyperlink" Target="http://www.nevo.co.il/case/28697227" TargetMode="External"/><Relationship Id="rId29" Type="http://schemas.openxmlformats.org/officeDocument/2006/relationships/hyperlink" Target="http://www.nevo.co.il/case/28883087" TargetMode="External"/><Relationship Id="rId30" Type="http://schemas.openxmlformats.org/officeDocument/2006/relationships/hyperlink" Target="http://www.nevo.co.il/case/21474812" TargetMode="External"/><Relationship Id="rId31" Type="http://schemas.openxmlformats.org/officeDocument/2006/relationships/hyperlink" Target="http://www.nevo.co.il/case/20494220" TargetMode="External"/><Relationship Id="rId32" Type="http://schemas.openxmlformats.org/officeDocument/2006/relationships/hyperlink" Target="http://www.nevo.co.il/case/23879124" TargetMode="External"/><Relationship Id="rId33" Type="http://schemas.openxmlformats.org/officeDocument/2006/relationships/hyperlink" Target="http://www.nevo.co.il/case/29101860" TargetMode="External"/><Relationship Id="rId34" Type="http://schemas.openxmlformats.org/officeDocument/2006/relationships/hyperlink" Target="http://www.nevo.co.il/case/23506710" TargetMode="External"/><Relationship Id="rId35" Type="http://schemas.openxmlformats.org/officeDocument/2006/relationships/hyperlink" Target="http://www.nevo.co.il/case/6080661" TargetMode="External"/><Relationship Id="rId36" Type="http://schemas.openxmlformats.org/officeDocument/2006/relationships/hyperlink" Target="http://www.nevo.co.il/case/28243256" TargetMode="External"/><Relationship Id="rId37" Type="http://schemas.openxmlformats.org/officeDocument/2006/relationships/hyperlink" Target="http://www.nevo.co.il/case/28296934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2023-09-28T10:46:00Z</dcterms:created>
  <dc:creator> </dc:creator>
  <dc:description/>
  <cp:keywords/>
  <dc:language>en-IL</dc:language>
  <cp:lastModifiedBy>h1</cp:lastModifiedBy>
  <dcterms:modified xsi:type="dcterms:W3CDTF">2023-09-28T10:46:00Z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מונזר נגאר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13093721;24263086;28296934:2;6169945;6859579;28243256:2;6246532;27734980;28200855;28697227;28883087;21474812;20494220;23879124;29101860;23506710;6080661</vt:lpwstr>
  </property>
  <property fmtid="{D5CDD505-2E9C-101B-9397-08002B2CF9AE}" pid="9" name="CITY">
    <vt:lpwstr>י-ם</vt:lpwstr>
  </property>
  <property fmtid="{D5CDD505-2E9C-101B-9397-08002B2CF9AE}" pid="10" name="DATE">
    <vt:lpwstr>20221019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70301/152;338.a.3;274.1;274.2;274.3;025;144.b2</vt:lpwstr>
  </property>
  <property fmtid="{D5CDD505-2E9C-101B-9397-08002B2CF9AE}" pid="15" name="LAWYER">
    <vt:lpwstr>היבא קדומי;אהוביה שטרן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31216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390020221019</vt:lpwstr>
  </property>
  <property fmtid="{D5CDD505-2E9C-101B-9397-08002B2CF9AE}" pid="34" name="TYPE_N_DATE">
    <vt:lpwstr>39020221019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