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3124-07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ירושלים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שרחה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נשיא יואל צור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ירושלים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 שרחה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מדר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תאבת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מתורגמן ביהמ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ש מר עומר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ind w:end="0"/>
        <w:jc w:val="start"/>
        <w:rPr/>
      </w:pPr>
      <w:bookmarkStart w:id="4" w:name="PsakDin"/>
      <w:bookmarkEnd w:id="4"/>
      <w:r>
        <w:rPr>
          <w:rtl w:val="true"/>
        </w:rPr>
        <w:t>לאור הודאת הנאשם בעובדות נשוא כתב האישום</w:t>
      </w:r>
      <w:r>
        <w:rPr>
          <w:rtl w:val="true"/>
        </w:rPr>
        <w:t xml:space="preserve">, </w:t>
      </w:r>
      <w:r>
        <w:rPr>
          <w:rtl w:val="true"/>
        </w:rPr>
        <w:t>אשר יש בהן כדי להרשיעו בדין</w:t>
      </w:r>
      <w:r>
        <w:rPr>
          <w:rtl w:val="true"/>
        </w:rPr>
        <w:t xml:space="preserve">, </w:t>
      </w:r>
      <w:r>
        <w:rPr>
          <w:rtl w:val="true"/>
        </w:rPr>
        <w:t>הנני מוצא אותו אשם ומרשיעו בעבירות ע</w:t>
      </w:r>
      <w:r>
        <w:rPr>
          <w:rtl w:val="true"/>
        </w:rPr>
        <w:t>"</w:t>
      </w:r>
      <w:r>
        <w:rPr>
          <w:rtl w:val="true"/>
        </w:rPr>
        <w:t>פ סע</w:t>
      </w:r>
      <w:r>
        <w:rPr>
          <w:rtl w:val="true"/>
        </w:rPr>
        <w:t xml:space="preserve">' </w:t>
      </w:r>
      <w:r>
        <w:rPr/>
        <w:t>186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אייר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02/05/2010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יואל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צור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הנאשם הורשע על פי הודאתו בעבירה של החזקת סכין למטרה לא כשרה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עבירה לפי סעיף </w:t>
      </w:r>
      <w:r>
        <w:rPr>
          <w:rFonts w:cs="David" w:ascii="David" w:hAnsi="David"/>
        </w:rPr>
        <w:t>186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3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cs="David"/>
          <w:rtl w:val="true"/>
        </w:rPr>
        <w:t xml:space="preserve"> 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ז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בבואי לגזור את התיק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הנני מביא בחשבון את העובדות והשיקולים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 w:cs="David"/>
          <w:rtl w:val="true"/>
        </w:rPr>
        <w:t>מהות העבירה שאין צורך להכביר במילים לגביה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הנאשם הודה באשמה ויש בהודאה משום הפנמה של האחריות וחסכון מזמנו של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הנאשם יליד </w:t>
      </w:r>
      <w:r>
        <w:rPr>
          <w:rFonts w:cs="David" w:ascii="David" w:hAnsi="David"/>
        </w:rPr>
        <w:t>1983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לכאורה לפי 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יש מאחורי הנאשם הרשעה קודמת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אלא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הנאשם והנאשם עצמו טענו היום להד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העבירה נשוא דיוננו נעברה בשנת </w:t>
      </w:r>
      <w:r>
        <w:rPr>
          <w:rFonts w:cs="David" w:ascii="David" w:hAnsi="David"/>
        </w:rPr>
        <w:t>2006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ומאז ועד היום אין מאחורי הנאשם כל הרשעה אחרת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לאור הנסיבות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ל ובהתחשב בדברי נציג המאשימה שיש קשיים ראיתיים בתיק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 w:cs="David"/>
          <w:rtl w:val="true"/>
        </w:rPr>
        <w:t>הנני מחליט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ליתן תוקף להסדר הטיעון שבין הצדדים ומטיל על הנאשם עונשים 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קנס על סך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 xml:space="preserve">שישולם ב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תשלומים  חודשיים שווים שהראשון שבהם עד יום </w:t>
      </w:r>
      <w:r>
        <w:rPr>
          <w:rFonts w:cs="David" w:ascii="David" w:hAnsi="David"/>
        </w:rPr>
        <w:t>1.6.10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וכל תשלום ותשלום עד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לחודש שלאחריו עד לסיום התשלומים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אם לא ישולם אחד התשלומים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יישא הנאשם במאסר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ימים תמורתו ותעמוד כל יתרת הקנס לפירעון מיידי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הואיל ולטענת הנאשם יש לו הפקדות כספיות בגין צווי הבאה שהוצאו כנגדו והפקדות אלה אף עולות על סכום הקנס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הרי שיש לקזז את ההפקדות מסכום הקנס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אם בכל זאת  יתברר שההפקדות לא מכסות את מלוא סכום הקנס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ישלם הנאשם את  יתרת הקנס בהתאם ללוח התשלומים שקבעתי לעיל ואם ישאר עודף בשל הפקדות גבוהות מהקנס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אז יוחזר ההפרש לנאשם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הנני מטיל על הנאשם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 מאסר על תנאי ל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שנים מהיום והתנאי יתייחס לסעיף </w:t>
      </w:r>
      <w:r>
        <w:rPr>
          <w:rFonts w:cs="David" w:ascii="David" w:hAnsi="David"/>
        </w:rPr>
        <w:t>186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4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cs="David"/>
          <w:rtl w:val="true"/>
        </w:rPr>
        <w:t xml:space="preserve"> 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ז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הנני מצווה לחלט את הסכין נשוא 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זכות ערעור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יום מהיום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אייר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02/05/2010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יואל צור </w:t>
      </w:r>
      <w:r>
        <w:rPr>
          <w:color w:val="000000"/>
          <w:sz w:val="22"/>
          <w:szCs w:val="22"/>
        </w:rPr>
        <w:t>54678313-3124/07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יואל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צור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5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/Users/liorb/Downloads/study2025-p2/SH-07-3124-721.doc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3124-07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לשכת תביעות ירושלים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פלילי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שרחה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2010-05-02T23:03:00Z</dcterms:created>
  <dc:creator> </dc:creator>
  <dc:description/>
  <cp:keywords/>
  <dc:language>en-IL</dc:language>
  <cp:lastModifiedBy>comp</cp:lastModifiedBy>
  <dcterms:modified xsi:type="dcterms:W3CDTF">2010-05-03T08:51:00Z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ירושלים (פלילי)</vt:lpwstr>
  </property>
  <property fmtid="{D5CDD505-2E9C-101B-9397-08002B2CF9AE}" pid="3" name="APPELLEE">
    <vt:lpwstr>מוחמד שרחה</vt:lpwstr>
  </property>
  <property fmtid="{D5CDD505-2E9C-101B-9397-08002B2CF9AE}" pid="4" name="CITY">
    <vt:lpwstr>י-ם</vt:lpwstr>
  </property>
  <property fmtid="{D5CDD505-2E9C-101B-9397-08002B2CF9AE}" pid="5" name="DATE">
    <vt:lpwstr>20100502</vt:lpwstr>
  </property>
  <property fmtid="{D5CDD505-2E9C-101B-9397-08002B2CF9AE}" pid="6" name="DELEMATA">
    <vt:lpwstr/>
  </property>
  <property fmtid="{D5CDD505-2E9C-101B-9397-08002B2CF9AE}" pid="7" name="JUDGE">
    <vt:lpwstr>יואל צור</vt:lpwstr>
  </property>
  <property fmtid="{D5CDD505-2E9C-101B-9397-08002B2CF9AE}" pid="8" name="LAWYER">
    <vt:lpwstr>מדר;תאבת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3124</vt:lpwstr>
  </property>
  <property fmtid="{D5CDD505-2E9C-101B-9397-08002B2CF9AE}" pid="22" name="NEWPARTB">
    <vt:lpwstr/>
  </property>
  <property fmtid="{D5CDD505-2E9C-101B-9397-08002B2CF9AE}" pid="23" name="NEWPARTC">
    <vt:lpwstr>07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3124</vt:lpwstr>
  </property>
  <property fmtid="{D5CDD505-2E9C-101B-9397-08002B2CF9AE}" pid="30" name="PROCYEAR">
    <vt:lpwstr>07</vt:lpwstr>
  </property>
  <property fmtid="{D5CDD505-2E9C-101B-9397-08002B2CF9AE}" pid="31" name="PSAKDIN">
    <vt:lpwstr>הכרעת-דין</vt:lpwstr>
  </property>
  <property fmtid="{D5CDD505-2E9C-101B-9397-08002B2CF9AE}" pid="32" name="RemarkFileName">
    <vt:lpwstr>shalom sh 07 3124 721 htm</vt:lpwstr>
  </property>
  <property fmtid="{D5CDD505-2E9C-101B-9397-08002B2CF9AE}" pid="33" name="TYPE">
    <vt:lpwstr>3</vt:lpwstr>
  </property>
  <property fmtid="{D5CDD505-2E9C-101B-9397-08002B2CF9AE}" pid="34" name="TYPE_ABS_DATE">
    <vt:lpwstr>380020100502</vt:lpwstr>
  </property>
  <property fmtid="{D5CDD505-2E9C-101B-9397-08002B2CF9AE}" pid="35" name="TYPE_N_DATE">
    <vt:lpwstr>38020100502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