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31249-06-14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מקדסי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סגן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נשיאה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שביט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/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 </w:t>
            </w:r>
            <w:r>
              <w:rPr>
                <w:rtl w:val="true"/>
              </w:rPr>
              <w:t>רונן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מקדסי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</w:t>
            </w:r>
            <w:r>
              <w:rPr>
                <w:rFonts w:eastAsia="David" w:ascii="David" w:hAnsi="David"/>
                <w:rtl w:val="true"/>
              </w:rPr>
              <w:t>–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בליווי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קפלנסקי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דמטרי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נס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נתן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3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דימטרי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אושמקשוילי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</w:t>
            </w:r>
            <w:r>
              <w:rPr>
                <w:rFonts w:eastAsia="David" w:ascii="David" w:hAnsi="David"/>
                <w:rtl w:val="true"/>
              </w:rPr>
              <w:t>–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בליווי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  <w:t xml:space="preserve">-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המסגרת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העובדתית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הטיעון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8" w:name="ABSTRACT_START"/>
      <w:bookmarkEnd w:id="8"/>
      <w:r>
        <w:rPr>
          <w:rFonts w:ascii="Calibri" w:hAnsi="Calibri" w:cs="Calibri"/>
          <w:rtl w:val="true"/>
        </w:rPr>
        <w:t>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הבאות</w:t>
      </w:r>
      <w:bookmarkStart w:id="9" w:name="ABSTRACT_END"/>
      <w:bookmarkEnd w:id="9"/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וזו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12.5.14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10:00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בבדיקת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בדירתה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בדיקה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הודיע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הצהריים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הצהריים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אזיקונים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מפלסטיק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וכשהורה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וסבון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המבוקש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מפתחות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משאמרה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עזבו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נמלטים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הונדה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יומיים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בהרצליה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פיתוח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09:15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HOT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וכפפות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במיקומן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האבטחה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DVR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הנפגעת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להכין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סנדוויץ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וקפה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פטיש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20,000$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תכשיטים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4,000</w:t>
      </w:r>
      <w:r>
        <w:rPr>
          <w:rFonts w:cs="Arial" w:ascii="Arial" w:hAnsi="Arial"/>
        </w:rPr>
        <w:t>€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מכשיר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טלויזיה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ומכשיר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הקלטה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מצלמות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האבטחה</w:t>
      </w:r>
      <w:r>
        <w:rPr>
          <w:rFonts w:cs="Arial" w:ascii="Arial" w:hAnsi="Arial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26.5.14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להתפרץ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בהרצליה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20:41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חבושים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בכובעי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קסקט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פטיש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מברגים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אזיקונים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אוויר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איזולירבנד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מפלסטיק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כובעי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קסקט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במברג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בהסכמתם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ובידיעתם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הנחזה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חשמלאי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שיוכלו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הרביעי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מיוחסת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29.5.14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הבנתה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הראיות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כראיות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גיליונות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וחו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הקרימינולוג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פרופ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ארנון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אדלשטיין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2.4.12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שלום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ראשל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צ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29734-04-11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הימן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30.5.12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39474-07-11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רוזן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החסד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להיגמל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מהתמכרותו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למוסד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ודאג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מחסורו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החסד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להיגמל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להשתקם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ולגמול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פרופ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אדלשטיין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ההוכחה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המחקרית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לגישתו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הנכונה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שתיטיב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בכללותה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'.,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טיעוני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הצדדים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התלויים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לגישתו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36-60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6-22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לשיטתו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שקלול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תומך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מצומצם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ומתמצה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בכניסתו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12-36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הראייתיות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בהעדת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מבוגרים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להיגמל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שנפטרו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הראייתיים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שבהודיה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וייתור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highlight w:val="yellow"/>
        </w:rPr>
      </w:pP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המצומצם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לבסוף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פרופ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אדלשטיין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בייחוד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וילדיה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פרופ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אדלשטיין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ולחילופין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מינורית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המצומצם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שרוי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מבקש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עזרה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כוח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ן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בכמה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המהוות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אירועים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כלשון</w:t>
      </w:r>
      <w:r>
        <w:rPr>
          <w:rFonts w:ascii="Calibri" w:hAnsi="Calibri" w:cs="Calibri"/>
          <w:rtl w:val="true"/>
        </w:rPr>
        <w:t xml:space="preserve">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כשבועיים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מהאישומים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בחבורה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זהים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שתיהן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חומרתה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המחמירות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בחבורה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המבוצעת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מקדימה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בבוקרו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באמתלת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("</w:t>
      </w:r>
      <w:r>
        <w:rPr>
          <w:rFonts w:ascii="Calibri" w:hAnsi="Calibri" w:cs="Calibri"/>
          <w:rtl w:val="true"/>
        </w:rPr>
        <w:t>תקלה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החשמל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ומכין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באזיקונים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מפלסטיק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ובנייר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בביתה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מבצרה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בפרטיותה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שחדרו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מתחדדת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תאמר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קשישה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מבוגרים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544/14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מחמוד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29.1.15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פיסקה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3338/13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טחימר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19.2.15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4125/14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6.1.15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פיסקה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חרב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4872/13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נחמני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26.10.14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פיסקה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כאשר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מטבע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למשנהו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רובינשטיין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4841/13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6.2.14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פיסקה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לשדוד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למאבק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ספונטני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5780/10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מירזה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4.4.11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בחבורה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השניים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בכובעי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אזיקונים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בהגיעם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שהציגו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כעובדי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חשמל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ודרשו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נאבקה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והצליחה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ששמעה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צעקותיה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במצטבר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יוותר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בהשוואה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227/15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26.5.15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התפרצות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ומתוכנן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הצמדת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הילדות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600,000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הוספה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מהמשיבים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למשיבים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2257/13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חייפץ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24.4.14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שרשראות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מצווארה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1041/14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קרקי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5.10.14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וגניבה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שהוזכר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נקבע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ההלימה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שיוטל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המשיבים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אמנם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שותפים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לביצועו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הקשישים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ברם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באישומים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נוספים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שנקבע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למשיב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בחשבון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ההדחה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בחקירה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שכאמור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כללה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ניסיונות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לגרום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למשיב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לחזור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מעדותו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למשיב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משפחתו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ועוד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חלקם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היחסי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המשיבים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הקשישים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שונה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כעולה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מהכרעת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המשיב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הגורם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הדומיננטי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בתכנון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הקשישים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ובביצועו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המשיב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נקט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אלימות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הקשיש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מבלי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גילה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התנגדות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"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6053/13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פאיז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10.4.13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שם נקבע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קביעת מתחם העונש ההולם מוגדרת בסעיף </w:t>
      </w:r>
      <w:r>
        <w:rPr>
          <w:rFonts w:cs="Arial" w:ascii="Arial" w:hAnsi="Arial"/>
          <w:b/>
          <w:bCs/>
        </w:rPr>
        <w:t>40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33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סעיף זה קובע בראשיתו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בית המשפט יקבע מתחם עונש הולם למעשה העבירה שביצע הנאשם בהתאם לעיקרון המנחה</w:t>
      </w:r>
      <w:r>
        <w:rPr>
          <w:rFonts w:cs="Arial" w:ascii="Arial" w:hAnsi="Arial"/>
          <w:b/>
          <w:bCs/>
          <w:rtl w:val="true"/>
        </w:rPr>
        <w:t xml:space="preserve">". </w:t>
      </w:r>
      <w:r>
        <w:rPr>
          <w:rFonts w:ascii="Arial" w:hAnsi="Arial" w:cs="Arial"/>
          <w:b/>
          <w:b/>
          <w:bCs/>
          <w:rtl w:val="true"/>
        </w:rPr>
        <w:t xml:space="preserve">העיקרון המנחה קבוע בסעיף </w:t>
      </w:r>
      <w:r>
        <w:rPr>
          <w:rFonts w:cs="Arial" w:ascii="Arial" w:hAnsi="Arial"/>
          <w:b/>
          <w:bCs/>
        </w:rPr>
        <w:t>40</w:t>
      </w:r>
      <w:r>
        <w:rPr>
          <w:rFonts w:ascii="Arial" w:hAnsi="Arial" w:cs="Arial"/>
          <w:b/>
          <w:b/>
          <w:bCs/>
          <w:rtl w:val="true"/>
        </w:rPr>
        <w:t>ב לחוק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כותרתו של סעיף </w:t>
      </w:r>
      <w:r>
        <w:rPr>
          <w:rFonts w:cs="Arial" w:ascii="Arial" w:hAnsi="Arial"/>
          <w:b/>
          <w:bCs/>
        </w:rPr>
        <w:t>40</w:t>
      </w:r>
      <w:r>
        <w:rPr>
          <w:rFonts w:ascii="Arial" w:hAnsi="Arial" w:cs="Arial"/>
          <w:b/>
          <w:b/>
          <w:bCs/>
          <w:rtl w:val="true"/>
        </w:rPr>
        <w:t xml:space="preserve">ב לחוק היא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העיקרון המנחה בענישה – הלימה</w:t>
      </w:r>
      <w:r>
        <w:rPr>
          <w:rFonts w:cs="Arial" w:ascii="Arial" w:hAnsi="Arial"/>
          <w:b/>
          <w:bCs/>
          <w:rtl w:val="true"/>
        </w:rPr>
        <w:t xml:space="preserve">". </w:t>
      </w:r>
      <w:r>
        <w:rPr>
          <w:rFonts w:ascii="Arial" w:hAnsi="Arial" w:cs="Arial"/>
          <w:b/>
          <w:b/>
          <w:bCs/>
          <w:rtl w:val="true"/>
        </w:rPr>
        <w:t>על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פי סעיף זה</w:t>
      </w:r>
      <w:r>
        <w:rPr>
          <w:rFonts w:cs="Arial" w:ascii="Arial" w:hAnsi="Arial"/>
          <w:b/>
          <w:bCs/>
          <w:rtl w:val="true"/>
        </w:rPr>
        <w:t>, "</w:t>
      </w:r>
      <w:r>
        <w:rPr>
          <w:rFonts w:ascii="Arial" w:hAnsi="Arial" w:cs="Arial"/>
          <w:b/>
          <w:b/>
          <w:bCs/>
          <w:rtl w:val="true"/>
        </w:rPr>
        <w:t>העיקרון המנחה בענישה הוא קיומו של יחס הולם בין חומרת מעשה העבירה בנסיבותיו ומידת אשמו של הנאשם ובין סוג ומידת העונש המוטל עליו</w:t>
      </w:r>
      <w:r>
        <w:rPr>
          <w:rFonts w:cs="Arial" w:ascii="Arial" w:hAnsi="Arial"/>
          <w:b/>
          <w:bCs/>
          <w:rtl w:val="true"/>
        </w:rPr>
        <w:t xml:space="preserve">". </w:t>
      </w:r>
      <w:r>
        <w:rPr>
          <w:rFonts w:ascii="Arial" w:hAnsi="Arial" w:cs="Arial"/>
          <w:b/>
          <w:b/>
          <w:bCs/>
          <w:rtl w:val="true"/>
        </w:rPr>
        <w:t>ההלימה שדורש החוק היא בין חומרת העבירה ואשמו של נאשם לבין סוג ומידת העונש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מידת אשמו של נאשם על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פי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רוב אינה זהה בין צדדים שונים לעבירה – מבצע עיקרי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משדל או מסייע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היא גם אינה בהכרח זהה בין מבצעים בצוותא כאשר חלקי הביצוע שונים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העיקרון המנחה מבקש לשמור על יחס הולם בין אשם לבין מתחם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ולא בין מתחם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של אחד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 xml:space="preserve">לבין מתחם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של אחר</w:t>
      </w:r>
      <w:r>
        <w:rPr>
          <w:rFonts w:cs="Arial" w:ascii="Arial" w:hAnsi="Arial"/>
          <w:b/>
          <w:bCs/>
          <w:rtl w:val="true"/>
        </w:rPr>
        <w:t xml:space="preserve">). </w:t>
      </w:r>
      <w:r>
        <w:rPr>
          <w:rFonts w:ascii="Arial" w:hAnsi="Arial" w:cs="Arial"/>
          <w:b/>
          <w:b/>
          <w:bCs/>
          <w:rtl w:val="true"/>
        </w:rPr>
        <w:t>קבלת טענתו של המערער מטשטשת את ההבדלים בין אשמו של אחד לאשמו של אחר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ובכך סותרת את העיקרון המנחה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>"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להבטחת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בבוקר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בחשמל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ואכן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הקפדני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והחרדה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נעלמים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במישורים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ולהסתבך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השני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מחמירות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Arial" w:hAnsi="Arial" w:cs="Arial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שזהותם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הזירה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המודיעין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התחזות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הכבלים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הגעה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בבוקר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באמתלה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20,000</w:t>
      </w:r>
      <w:r>
        <w:rPr>
          <w:rFonts w:cs="Calibri" w:ascii="Calibri" w:hAnsi="Calibri"/>
          <w:rtl w:val="true"/>
        </w:rPr>
        <w:t xml:space="preserve"> $, </w:t>
      </w:r>
      <w:r>
        <w:rPr>
          <w:rFonts w:cs="Calibri" w:ascii="Calibri" w:hAnsi="Calibri"/>
        </w:rPr>
        <w:t>4,000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Arial" w:ascii="Arial" w:hAnsi="Arial"/>
          <w:rtl w:val="true"/>
        </w:rPr>
        <w:t>€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תכשיטים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מכשיר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טלויזיה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ומכשיר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הקלטה של מצלמת האבטחה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Arial" w:hAnsi="Arial" w:cs="Arial"/>
          <w:rtl w:val="true"/>
        </w:rPr>
        <w:t xml:space="preserve">בנסיבות אלו מתחם העונש ההולם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נע בין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השלישי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מכשירי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פריצה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וקשירת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לפשע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האיסור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להפרתם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הצטיידו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פטיש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מברגים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אזיקונים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אוויר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ומסיכות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הוחזקו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בכובעים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להסוואת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בדירתו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חשמלאי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ואחד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נוקש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באמתלה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זממם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התגבשותו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להתגבש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זממם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רביעי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מוחלטת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מחסנית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והחזיקם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חלופותיו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למיניהן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עניין סלימאן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 xml:space="preserve">מבחינה זו העבירות בהן הורשע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מצויות במדרג החומרה הנמוך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החזקת אבזר הנשק – המחסנית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והבינוני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החזקת הנשק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האקדח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בעניין סלימאן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נקבע כי מתחם העונש ההולם בגין עבירות רכישה והחזקה  יחד עם עבירות של נשיאה והובלת נשק 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התקפי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בעלמא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1505/14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4.11.14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פיסקה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ולהעמידו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סיכום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ביניים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מתחמי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השונים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אישום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בין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הרביעי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תדירותן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הזיקה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יילקחו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הנאשמים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פריצה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התרחשו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כשבועיים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בדפוס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בשניהם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כרוכות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בהעדת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שנפטרו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82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וכלה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שחלקן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2.4.12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לקזזו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יזקף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תיזקף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לגמילתו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ולשיקומו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פרופ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אדלשטיין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וילדיה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מטבע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ובקרוביו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30.5.12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בהפרש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שבועיים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יופעל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מחציתו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ומחציתו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הבלעדיים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השתקם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ישתקם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cs="Calibri" w:ascii="Calibri" w:hAnsi="Calibri"/>
          <w:rtl w:val="true"/>
        </w:rPr>
        <w:t>(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פרופ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אדלשטיין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ובתחינתו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לעזרה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תילקחנה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בהעדת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תחינתו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כשבועיים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והשני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ומרכזי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שותפיו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שנרתע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מיצירת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באמתלות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כוזבות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מעדותה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הושפעו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תיזקף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הפקדה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בהעדת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שביטא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מדרג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בהינתן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ובייחוד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בנתוני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כשלשניהם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יופעלו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שמחציתם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ומחציתם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</w:t>
      </w:r>
      <w:r>
        <w:rPr>
          <w:rFonts w:cs="Calibri" w:ascii="Calibri" w:hAnsi="Calibri"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425" w:start="793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26.5.14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28.5.14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29.5.14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14.9.14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15.10.14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13.11.14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19.11.14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425" w:start="793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שלום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ראשל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צ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29734-04-11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2.4.12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425" w:start="793" w:end="0"/>
        <w:contextualSpacing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425" w:start="793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425" w:start="793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בהסכמת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קיזוז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מהפיקדון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הקיזוז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2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39474-07-11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רוזן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30.5.12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3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29.5.14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מזכירות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הופקד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חילוט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כמופיע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הפלאפון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זכות ערעור לנאשמים תוך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 לבית המשפט העליון</w:t>
      </w:r>
    </w:p>
    <w:p>
      <w:pPr>
        <w:pStyle w:val="Normal"/>
        <w:spacing w:lineRule="auto" w:line="360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04/06/2015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57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ורג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rFonts w:cs="Times New Roman"/>
                <w:b/>
                <w:b/>
                <w:bCs/>
                <w:rtl w:val="true"/>
              </w:rPr>
              <w:t>קרא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rFonts w:cs="Times New Roman"/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Cs/>
                <w:rtl w:val="true"/>
              </w:rPr>
              <w:t xml:space="preserve">, </w:t>
            </w:r>
            <w:r>
              <w:rPr>
                <w:rFonts w:cs="Times New Roman"/>
                <w:b/>
                <w:b/>
                <w:bCs/>
                <w:rtl w:val="true"/>
              </w:rPr>
              <w:t>סגן נשיאה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start="4212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ורג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31249-06-14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רונן מקדסי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245" w:hanging="525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.a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402.b" TargetMode="External"/><Relationship Id="rId8" Type="http://schemas.openxmlformats.org/officeDocument/2006/relationships/hyperlink" Target="http://www.nevo.co.il/law/70301/403" TargetMode="External"/><Relationship Id="rId9" Type="http://schemas.openxmlformats.org/officeDocument/2006/relationships/hyperlink" Target="http://www.nevo.co.il/law/70301/409" TargetMode="External"/><Relationship Id="rId10" Type="http://schemas.openxmlformats.org/officeDocument/2006/relationships/hyperlink" Target="http://www.nevo.co.il/law/70301/40jc.b" TargetMode="External"/><Relationship Id="rId11" Type="http://schemas.openxmlformats.org/officeDocument/2006/relationships/hyperlink" Target="http://www.nevo.co.il/law/70301/40jc.c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3" TargetMode="External"/><Relationship Id="rId16" Type="http://schemas.openxmlformats.org/officeDocument/2006/relationships/hyperlink" Target="http://www.nevo.co.il/law/70301/409" TargetMode="External"/><Relationship Id="rId17" Type="http://schemas.openxmlformats.org/officeDocument/2006/relationships/hyperlink" Target="http://www.nevo.co.il/law/70301/402.b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case/2821047" TargetMode="External"/><Relationship Id="rId21" Type="http://schemas.openxmlformats.org/officeDocument/2006/relationships/hyperlink" Target="http://www.nevo.co.il/case/5469100" TargetMode="External"/><Relationship Id="rId22" Type="http://schemas.openxmlformats.org/officeDocument/2006/relationships/hyperlink" Target="http://www.nevo.co.il/law/70301/40jc.b" TargetMode="External"/><Relationship Id="rId23" Type="http://schemas.openxmlformats.org/officeDocument/2006/relationships/hyperlink" Target="http://www.nevo.co.il/case/11206549" TargetMode="External"/><Relationship Id="rId24" Type="http://schemas.openxmlformats.org/officeDocument/2006/relationships/hyperlink" Target="http://www.nevo.co.il/case/7003766" TargetMode="External"/><Relationship Id="rId25" Type="http://schemas.openxmlformats.org/officeDocument/2006/relationships/hyperlink" Target="http://www.nevo.co.il/case/16987351" TargetMode="External"/><Relationship Id="rId26" Type="http://schemas.openxmlformats.org/officeDocument/2006/relationships/hyperlink" Target="http://www.nevo.co.il/case/7776280" TargetMode="External"/><Relationship Id="rId27" Type="http://schemas.openxmlformats.org/officeDocument/2006/relationships/hyperlink" Target="http://www.nevo.co.il/case/7773349" TargetMode="External"/><Relationship Id="rId28" Type="http://schemas.openxmlformats.org/officeDocument/2006/relationships/hyperlink" Target="http://www.nevo.co.il/case/6032409" TargetMode="External"/><Relationship Id="rId29" Type="http://schemas.openxmlformats.org/officeDocument/2006/relationships/hyperlink" Target="http://www.nevo.co.il/case/19994725" TargetMode="External"/><Relationship Id="rId30" Type="http://schemas.openxmlformats.org/officeDocument/2006/relationships/hyperlink" Target="http://www.nevo.co.il/case/6856426" TargetMode="External"/><Relationship Id="rId31" Type="http://schemas.openxmlformats.org/officeDocument/2006/relationships/hyperlink" Target="http://www.nevo.co.il/case/13083699" TargetMode="External"/><Relationship Id="rId32" Type="http://schemas.openxmlformats.org/officeDocument/2006/relationships/hyperlink" Target="http://www.nevo.co.il/case/7985582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144" TargetMode="External"/><Relationship Id="rId35" Type="http://schemas.openxmlformats.org/officeDocument/2006/relationships/hyperlink" Target="http://www.nevo.co.il/case/7791493" TargetMode="External"/><Relationship Id="rId36" Type="http://schemas.openxmlformats.org/officeDocument/2006/relationships/hyperlink" Target="http://www.nevo.co.il/case/13015506" TargetMode="External"/><Relationship Id="rId37" Type="http://schemas.openxmlformats.org/officeDocument/2006/relationships/hyperlink" Target="http://www.nevo.co.il/law/70301/144.a" TargetMode="External"/><Relationship Id="rId38" Type="http://schemas.openxmlformats.org/officeDocument/2006/relationships/hyperlink" Target="http://www.nevo.co.il/law/70301/144.b" TargetMode="External"/><Relationship Id="rId39" Type="http://schemas.openxmlformats.org/officeDocument/2006/relationships/hyperlink" Target="http://www.nevo.co.il/law/70301/40jc.c" TargetMode="External"/><Relationship Id="rId40" Type="http://schemas.openxmlformats.org/officeDocument/2006/relationships/hyperlink" Target="http://www.nevo.co.il/law/70301/40d.a" TargetMode="External"/><Relationship Id="rId41" Type="http://schemas.openxmlformats.org/officeDocument/2006/relationships/hyperlink" Target="http://www.nevo.co.il/case/2821047" TargetMode="External"/><Relationship Id="rId42" Type="http://schemas.openxmlformats.org/officeDocument/2006/relationships/hyperlink" Target="http://www.nevo.co.il/case/5469100" TargetMode="External"/><Relationship Id="rId43" Type="http://schemas.openxmlformats.org/officeDocument/2006/relationships/hyperlink" Target="http://www.nevo.co.il/law/70301/144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144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2017-09-28T10:22:00Z</dcterms:created>
  <dc:creator> </dc:creator>
  <dc:description/>
  <cp:keywords/>
  <dc:language>en-IL</dc:language>
  <cp:lastModifiedBy>run</cp:lastModifiedBy>
  <dcterms:modified xsi:type="dcterms:W3CDTF">2017-09-28T10:22:00Z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רונן מקדסי ;דמטרי קוגן;דימטרי אושמקשוילי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2821047:2;5469100:2;11206549;7003766;16987351;7776280;7773349;6032409;19994725;6856426;13083699;7985582;7791493;13015506</vt:lpwstr>
  </property>
  <property fmtid="{D5CDD505-2E9C-101B-9397-08002B2CF9AE}" pid="9" name="CITY">
    <vt:lpwstr>ת"א</vt:lpwstr>
  </property>
  <property fmtid="{D5CDD505-2E9C-101B-9397-08002B2CF9AE}" pid="10" name="DATE">
    <vt:lpwstr>20150604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 ג'ורג' קרא</vt:lpwstr>
  </property>
  <property fmtid="{D5CDD505-2E9C-101B-9397-08002B2CF9AE}" pid="14" name="LAWLISTTMP1">
    <vt:lpwstr>70301/499.a.1;403;409;402.b;144.a:2;144.b:2;40jc.b;144:3;40jc.c;040d.a</vt:lpwstr>
  </property>
  <property fmtid="{D5CDD505-2E9C-101B-9397-08002B2CF9AE}" pid="15" name="LAWYER">
    <vt:lpwstr>נועם שביט;נס בן נתן;קפלנסקי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31249</vt:lpwstr>
  </property>
  <property fmtid="{D5CDD505-2E9C-101B-9397-08002B2CF9AE}" pid="22" name="NEWPARTB">
    <vt:lpwstr>06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390020150604</vt:lpwstr>
  </property>
  <property fmtid="{D5CDD505-2E9C-101B-9397-08002B2CF9AE}" pid="34" name="TYPE_N_DATE">
    <vt:lpwstr>39020150604</vt:lpwstr>
  </property>
  <property fmtid="{D5CDD505-2E9C-101B-9397-08002B2CF9AE}" pid="35" name="VOLUME">
    <vt:lpwstr/>
  </property>
  <property fmtid="{D5CDD505-2E9C-101B-9397-08002B2CF9AE}" pid="36" name="WORDNUMPAGES">
    <vt:lpwstr>15</vt:lpwstr>
  </property>
</Properties>
</file>