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39"/>
        <w:gridCol w:w="37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בצפת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בפני 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סגן נשיא סאאב דבור</w:t>
            </w:r>
          </w:p>
        </w:tc>
        <w:tc>
          <w:tcPr>
            <w:tcW w:w="1039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708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/>
              <w:t>3126-07-08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/>
            </w:pPr>
            <w:hyperlink r:id="rId3">
              <w:r>
                <w:rPr>
                  <w:rStyle w:val="Hyperlink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color w:val="0000FF"/>
                  <w:u w:val="single"/>
                </w:rPr>
                <w:t>7514-02-10</w:t>
              </w:r>
            </w:hyperlink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1039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708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ספטמבר </w:t>
            </w:r>
            <w:r>
              <w:rPr/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574" w:type="dxa"/>
        <w:jc w:val="start"/>
        <w:tblInd w:w="17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0"/>
        <w:gridCol w:w="3534"/>
      </w:tblGrid>
      <w:tr>
        <w:trPr/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3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/>
        <w:tc>
          <w:tcPr>
            <w:tcW w:w="857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רם אברהם לב ארי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3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רס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ר רומיאו חורי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ועל ידי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  <w:r>
        <w:rPr>
          <w:u w:val="none"/>
          <w:rtl w:val="true"/>
        </w:rPr>
        <w:t>רימונה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שלג</w:t>
      </w:r>
      <w:r>
        <w:rPr>
          <w:u w:val="none"/>
          <w:rtl w:val="true"/>
        </w:rPr>
        <w:t xml:space="preserve">  מטעם 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בהתאם להודאתו הורשע הנאשם בעבירות המיוחסות לו הן בתיק העיקרי והן בתיק המאוחד</w:t>
      </w:r>
      <w:r>
        <w:rPr>
          <w:rtl w:val="true"/>
        </w:rPr>
        <w:t xml:space="preserve">. </w:t>
      </w:r>
      <w:r>
        <w:rPr>
          <w:rtl w:val="true"/>
        </w:rPr>
        <w:t xml:space="preserve">הודאתו של הנאשם מיום </w:t>
      </w:r>
      <w:r>
        <w:rPr/>
        <w:t>12.4.10</w:t>
      </w:r>
      <w:r>
        <w:rPr>
          <w:rtl w:val="true"/>
        </w:rPr>
        <w:t xml:space="preserve"> </w:t>
      </w:r>
      <w:r>
        <w:rPr>
          <w:rtl w:val="true"/>
        </w:rPr>
        <w:t>באה לאחר שהוחלט על הגשת תסקיר בעניינו מיד לאחר שיודה בעבירות המיוחסות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 של הנאשם הוגש תסקיר מטעם שירות המבחן המפרט את 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את מקום מגוריו</w:t>
      </w:r>
      <w:r>
        <w:rPr>
          <w:rtl w:val="true"/>
        </w:rPr>
        <w:t xml:space="preserve">, </w:t>
      </w:r>
      <w:r>
        <w:rPr>
          <w:rtl w:val="true"/>
        </w:rPr>
        <w:t>ואת יחסו של הנאשם לעבירות המיוחסות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ביצע בדיקות שתן שנמצאו נקיות משרידי 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שירות המבחן המליץ על הטלת צו מבחן בהיקף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והמליץ להימנע מהטלת עבודות של</w:t>
      </w:r>
      <w:r>
        <w:rPr>
          <w:rtl w:val="true"/>
        </w:rPr>
        <w:t>"</w:t>
      </w:r>
      <w:r>
        <w:rPr>
          <w:rtl w:val="true"/>
        </w:rPr>
        <w:t>צ וזאת בשים לב למקום מגוריו של הנאשם הממוקם בחווה נידחת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מבקש התובע המלומד להטיל ענישה הכוללת מאסר בפועל וכן מרכיבי ענישה נוספים הכוללים מאסר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המלומדת של הנאשם</w:t>
      </w:r>
      <w:r>
        <w:rPr>
          <w:rtl w:val="true"/>
        </w:rPr>
        <w:t xml:space="preserve">, </w:t>
      </w:r>
      <w:r>
        <w:rPr>
          <w:rtl w:val="true"/>
        </w:rPr>
        <w:t>הפנתה להמלצת שירות המבחן והדגישה</w:t>
      </w:r>
      <w:r>
        <w:rPr>
          <w:rtl w:val="true"/>
        </w:rPr>
        <w:t xml:space="preserve">, </w:t>
      </w:r>
      <w:r>
        <w:rPr>
          <w:rtl w:val="true"/>
        </w:rPr>
        <w:t xml:space="preserve">כי המדובר באדם בן </w:t>
      </w:r>
      <w:r>
        <w:rPr/>
        <w:t>48</w:t>
      </w:r>
      <w:r>
        <w:rPr>
          <w:rtl w:val="true"/>
        </w:rPr>
        <w:t xml:space="preserve"> , </w:t>
      </w:r>
      <w:r>
        <w:rPr>
          <w:rtl w:val="true"/>
        </w:rPr>
        <w:t xml:space="preserve">גרוש </w:t>
      </w:r>
      <w:r>
        <w:rPr>
          <w:rtl w:val="true"/>
        </w:rPr>
        <w:t xml:space="preserve">+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 וזו לו הפעם הראשונה שהוא מעורב בהתרחשות החוצה את גבולות המותר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עבירה של החזקת נשק שלא כדין נחשבת היא לרעה חולה שיש בכוחה כדי לגדוע חיי אדם זאת עקב השימוש שנעשה בכלי נשק המוחזקים באופן לא חוקי ואין למדינה כל שליטה ו</w:t>
      </w:r>
      <w:r>
        <w:rPr>
          <w:rtl w:val="true"/>
        </w:rPr>
        <w:t>/</w:t>
      </w:r>
      <w:r>
        <w:rPr>
          <w:rtl w:val="true"/>
        </w:rPr>
        <w:t>או מעקב אחר הנעשה 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מטיעוניה של הסנגורית המלומדת למד אני</w:t>
      </w:r>
      <w:r>
        <w:rPr>
          <w:rtl w:val="true"/>
        </w:rPr>
        <w:t xml:space="preserve">, </w:t>
      </w:r>
      <w:r>
        <w:rPr>
          <w:rtl w:val="true"/>
        </w:rPr>
        <w:t>כי הנאשם לא ניסה להסתיר את הנשק</w:t>
      </w:r>
      <w:r>
        <w:rPr>
          <w:rtl w:val="true"/>
        </w:rPr>
        <w:t xml:space="preserve">. </w:t>
      </w:r>
      <w:r>
        <w:rPr>
          <w:rtl w:val="true"/>
        </w:rPr>
        <w:t>מיד לאחר שנכנסו השוטרים אליו הוא מסרהו לידם והודה בהחזקת רובה ציד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על בית המשפט לאזן נכונה בין מגוון השיקולים העומדים על הפרק</w:t>
      </w:r>
      <w:r>
        <w:rPr>
          <w:rtl w:val="true"/>
        </w:rPr>
        <w:t xml:space="preserve">. </w:t>
      </w:r>
      <w:r>
        <w:rPr>
          <w:rtl w:val="true"/>
        </w:rPr>
        <w:t xml:space="preserve">לא אחת ציינתי </w:t>
      </w:r>
      <w:r>
        <w:rPr>
          <w:rtl w:val="true"/>
        </w:rPr>
        <w:t xml:space="preserve">, </w:t>
      </w:r>
      <w:r>
        <w:rPr>
          <w:rtl w:val="true"/>
        </w:rPr>
        <w:t>כי רק בית המשפט היודע מתי להחמיר עם נאשם זה או אחר הוא הוא זה שיידע בבוא העת להטיל ענישה מקלה שיש בה כדי לשקף את העושה</w:t>
      </w:r>
      <w:r>
        <w:rPr>
          <w:rtl w:val="true"/>
        </w:rPr>
        <w:t xml:space="preserve">, </w:t>
      </w:r>
      <w:r>
        <w:rPr>
          <w:rtl w:val="true"/>
        </w:rPr>
        <w:t>נסיבותיו ואת המעשה והנסיבות האופפות 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המלצת שירות המבחן אומנם הינה בגדר המלצה ותו לא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אל לו לבית המשפט להתעלם מהמלצה של גוף מקצועי הבא כדי להאיר את דרכו של בית המשפט עת בא להטיל את העונש הראוי והנכון בנסיבות העניין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ששמעתי דבריהם של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התביעה ושל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</w:t>
      </w:r>
      <w:r>
        <w:rPr>
          <w:b/>
          <w:b/>
          <w:bCs/>
          <w:rtl w:val="true"/>
        </w:rPr>
        <w:t xml:space="preserve">הנאשם </w:t>
      </w:r>
      <w:r>
        <w:rPr>
          <w:b/>
          <w:b/>
          <w:bCs/>
          <w:rtl w:val="true"/>
        </w:rPr>
        <w:t>ובשים לבד להודאתו של הנאשם אשר חסכה זמן שיפוטי 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המלצת שירות המבחן </w:t>
      </w:r>
      <w:r>
        <w:rPr>
          <w:b/>
          <w:b/>
          <w:bCs/>
          <w:rtl w:val="true"/>
        </w:rPr>
        <w:t xml:space="preserve">מוטל בזה על הנאשם עונש כדלקמן </w:t>
      </w:r>
      <w:r>
        <w:rPr>
          <w:b/>
          <w:bCs/>
          <w:rtl w:val="true"/>
        </w:rPr>
        <w:t>: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בהתאם להמלצת שירות המבחן ניתן בזה צו מבחן לתקופה של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 וזאת כדי לאפשר לנאשם להמשיך בהליך הטיפולי בו החל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 הנאשם לבצע כל הוראה ולהתייצב לכל מפגש ולמלא אחר כל דרישה של שירות המבחן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במהלך תקופת המבחן ישולב הנאשם בקבוצה על פי צרכיו ויבצע בדיקות שתן אקראיות לגילוי שרידי סם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2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הוסבר 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 במידה ולא יעמוד בתנאי צו המבחן יוכל בית המשפט להפקיע את המבחן ולהטיל עליו עונש אחר שייראה לו כנכון בנסיבות העניין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 על תנאי למשך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ואולם הנאשם לא ישא בעונש זה אלא אם כן יעבור תוך תקופה של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עבירה </w:t>
      </w:r>
      <w:r>
        <w:rPr>
          <w:rtl w:val="true"/>
        </w:rPr>
        <w:t xml:space="preserve">שעניינה החזקת נשק שלא כדין בניגוד לסעיף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 בה בתקופת התנאי או 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 על תנאי למשך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ואולם הנאשם לא ישא בעונש זה אלא אם כן יעבור תוך תקופה של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</w:t>
      </w:r>
      <w:r>
        <w:rPr>
          <w:rtl w:val="true"/>
        </w:rPr>
        <w:t>על אחת מן העבירות המנויות ב</w:t>
      </w:r>
      <w:hyperlink r:id="rId5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ויורשע בה בתקופת התנאי או 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מוצגים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נשק ומשקפת</w:t>
      </w:r>
      <w:r>
        <w:rPr>
          <w:rtl w:val="true"/>
        </w:rPr>
        <w:t xml:space="preserve">- </w:t>
      </w:r>
      <w:r>
        <w:rPr>
          <w:rtl w:val="true"/>
        </w:rPr>
        <w:t>לחילוט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סמים </w:t>
      </w:r>
      <w:r>
        <w:rPr>
          <w:rtl w:val="true"/>
        </w:rPr>
        <w:t>–</w:t>
      </w:r>
      <w:r>
        <w:rPr>
          <w:rtl w:val="true"/>
        </w:rPr>
        <w:t xml:space="preserve"> להשמדה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 xml:space="preserve">זכות ערעור לצדדים על פסק הדין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 סאאב דבור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סאאב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/Users/liorb/Downloads/study2025-p2/SH-08-07-3126-853.doc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צפת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3126-07-08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רם אברהם לב 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 w:val="30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 w:val="3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inks/psika/?NEWPROC=&#1514;&#1508;&amp;NEWPARTA=10&amp;NEWPARTB=02&amp;NEWPARTC=7514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P170_001.htm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2010-09-13T01:05:00Z</dcterms:created>
  <dc:creator> </dc:creator>
  <dc:description/>
  <cp:keywords/>
  <dc:language>en-IL</dc:language>
  <cp:lastModifiedBy>einat</cp:lastModifiedBy>
  <dcterms:modified xsi:type="dcterms:W3CDTF">2010-09-13T12:41:00Z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רם אברהם לב ארי</vt:lpwstr>
  </property>
  <property fmtid="{D5CDD505-2E9C-101B-9397-08002B2CF9AE}" pid="4" name="CITY">
    <vt:lpwstr>צפת</vt:lpwstr>
  </property>
  <property fmtid="{D5CDD505-2E9C-101B-9397-08002B2CF9AE}" pid="5" name="DATE">
    <vt:lpwstr>20100912</vt:lpwstr>
  </property>
  <property fmtid="{D5CDD505-2E9C-101B-9397-08002B2CF9AE}" pid="6" name="ISABSTRACT">
    <vt:lpwstr>Y</vt:lpwstr>
  </property>
  <property fmtid="{D5CDD505-2E9C-101B-9397-08002B2CF9AE}" pid="7" name="JUDGE">
    <vt:lpwstr>ה סאאב דבור</vt:lpwstr>
  </property>
  <property fmtid="{D5CDD505-2E9C-101B-9397-08002B2CF9AE}" pid="8" name="LAWYER">
    <vt:lpwstr>רס"ר רומיאו חורי;רימונה שלג הסנגוריה הציבורית</vt:lpwstr>
  </property>
  <property fmtid="{D5CDD505-2E9C-101B-9397-08002B2CF9AE}" pid="9" name="NEWPARTA">
    <vt:lpwstr>3126;7514</vt:lpwstr>
  </property>
  <property fmtid="{D5CDD505-2E9C-101B-9397-08002B2CF9AE}" pid="10" name="NEWPARTB">
    <vt:lpwstr>07;02</vt:lpwstr>
  </property>
  <property fmtid="{D5CDD505-2E9C-101B-9397-08002B2CF9AE}" pid="11" name="NEWPARTC">
    <vt:lpwstr>08;</vt:lpwstr>
  </property>
  <property fmtid="{D5CDD505-2E9C-101B-9397-08002B2CF9AE}" pid="12" name="NEWPROC">
    <vt:lpwstr>תפ;תפ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08 07 3126 853 htm</vt:lpwstr>
  </property>
  <property fmtid="{D5CDD505-2E9C-101B-9397-08002B2CF9AE}" pid="15" name="TYPE">
    <vt:lpwstr>3</vt:lpwstr>
  </property>
  <property fmtid="{D5CDD505-2E9C-101B-9397-08002B2CF9AE}" pid="16" name="TYPE_ABS_DATE">
    <vt:lpwstr>380020100912</vt:lpwstr>
  </property>
  <property fmtid="{D5CDD505-2E9C-101B-9397-08002B2CF9AE}" pid="17" name="TYPE_N_DATE">
    <vt:lpwstr>38020100912</vt:lpwstr>
  </property>
  <property fmtid="{D5CDD505-2E9C-101B-9397-08002B2CF9AE}" pid="18" name="WORDNUMPAGES">
    <vt:lpwstr>3</vt:lpwstr>
  </property>
</Properties>
</file>